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0492C" w14:textId="77777777" w:rsidR="006B2FA9" w:rsidRPr="004678F7" w:rsidRDefault="006B2FA9" w:rsidP="006B2FA9">
      <w:pPr>
        <w:rPr>
          <w:sz w:val="24"/>
          <w:szCs w:val="24"/>
        </w:rPr>
      </w:pPr>
      <w:r w:rsidRPr="004678F7">
        <w:rPr>
          <w:sz w:val="24"/>
          <w:szCs w:val="24"/>
        </w:rPr>
        <w:t>Name ________________________________</w:t>
      </w:r>
    </w:p>
    <w:p w14:paraId="2153DDCD" w14:textId="77777777" w:rsidR="006B2FA9" w:rsidRDefault="006B2FA9" w:rsidP="006B2FA9">
      <w:pPr>
        <w:jc w:val="center"/>
        <w:rPr>
          <w:b/>
          <w:bCs/>
          <w:sz w:val="24"/>
          <w:szCs w:val="24"/>
        </w:rPr>
      </w:pPr>
      <w:r>
        <w:rPr>
          <w:b/>
          <w:bCs/>
          <w:sz w:val="24"/>
          <w:szCs w:val="24"/>
        </w:rPr>
        <w:t>Control of Gene Expression</w:t>
      </w:r>
      <w:r w:rsidRPr="004678F7">
        <w:rPr>
          <w:b/>
          <w:bCs/>
          <w:sz w:val="24"/>
          <w:szCs w:val="24"/>
        </w:rPr>
        <w:t xml:space="preserve"> End of Topic Test</w:t>
      </w:r>
    </w:p>
    <w:p w14:paraId="2970B985" w14:textId="77777777" w:rsidR="0036283B" w:rsidRDefault="0036283B" w:rsidP="006B2FA9">
      <w:pPr>
        <w:jc w:val="center"/>
        <w:rPr>
          <w:b/>
          <w:bCs/>
          <w:sz w:val="24"/>
          <w:szCs w:val="24"/>
        </w:rPr>
      </w:pPr>
    </w:p>
    <w:tbl>
      <w:tblPr>
        <w:tblStyle w:val="TableGrid"/>
        <w:tblW w:w="0" w:type="auto"/>
        <w:tblLook w:val="04A0" w:firstRow="1" w:lastRow="0" w:firstColumn="1" w:lastColumn="0" w:noHBand="0" w:noVBand="1"/>
      </w:tblPr>
      <w:tblGrid>
        <w:gridCol w:w="3020"/>
        <w:gridCol w:w="789"/>
        <w:gridCol w:w="789"/>
        <w:gridCol w:w="6085"/>
      </w:tblGrid>
      <w:tr w:rsidR="006B2FA9" w14:paraId="701DDF42" w14:textId="77777777" w:rsidTr="0036283B">
        <w:tc>
          <w:tcPr>
            <w:tcW w:w="3085" w:type="dxa"/>
          </w:tcPr>
          <w:p w14:paraId="6489F80F" w14:textId="77777777" w:rsidR="006B2FA9" w:rsidRPr="00EE39B6" w:rsidRDefault="006B2FA9" w:rsidP="00016315">
            <w:pPr>
              <w:rPr>
                <w:b/>
                <w:bCs/>
              </w:rPr>
            </w:pPr>
            <w:r>
              <w:t xml:space="preserve">                   </w:t>
            </w:r>
            <w:r w:rsidRPr="00EE39B6">
              <w:rPr>
                <w:b/>
                <w:bCs/>
              </w:rPr>
              <w:t>Question</w:t>
            </w:r>
          </w:p>
        </w:tc>
        <w:tc>
          <w:tcPr>
            <w:tcW w:w="314" w:type="dxa"/>
          </w:tcPr>
          <w:p w14:paraId="1BFE4200" w14:textId="77777777" w:rsidR="006B2FA9" w:rsidRPr="00EE39B6" w:rsidRDefault="006B2FA9" w:rsidP="00016315">
            <w:pPr>
              <w:rPr>
                <w:b/>
                <w:bCs/>
              </w:rPr>
            </w:pPr>
            <w:r w:rsidRPr="00EE39B6">
              <w:rPr>
                <w:b/>
                <w:bCs/>
              </w:rPr>
              <w:t>My Marks</w:t>
            </w:r>
          </w:p>
        </w:tc>
        <w:tc>
          <w:tcPr>
            <w:tcW w:w="789" w:type="dxa"/>
          </w:tcPr>
          <w:p w14:paraId="0436B8B8" w14:textId="77777777" w:rsidR="006B2FA9" w:rsidRPr="00EE39B6" w:rsidRDefault="006B2FA9" w:rsidP="00016315">
            <w:pPr>
              <w:rPr>
                <w:b/>
                <w:bCs/>
              </w:rPr>
            </w:pPr>
            <w:r w:rsidRPr="00EE39B6">
              <w:rPr>
                <w:b/>
                <w:bCs/>
              </w:rPr>
              <w:t>Total Marks</w:t>
            </w:r>
          </w:p>
        </w:tc>
        <w:tc>
          <w:tcPr>
            <w:tcW w:w="6268" w:type="dxa"/>
          </w:tcPr>
          <w:p w14:paraId="42591F98" w14:textId="77777777" w:rsidR="006B2FA9" w:rsidRPr="00EE39B6" w:rsidRDefault="006B2FA9" w:rsidP="00016315">
            <w:pPr>
              <w:rPr>
                <w:b/>
                <w:bCs/>
              </w:rPr>
            </w:pPr>
            <w:r w:rsidRPr="00EE39B6">
              <w:rPr>
                <w:b/>
                <w:bCs/>
              </w:rPr>
              <w:t xml:space="preserve">Feedback </w:t>
            </w:r>
          </w:p>
        </w:tc>
      </w:tr>
      <w:tr w:rsidR="006B2FA9" w14:paraId="1FE72291" w14:textId="77777777" w:rsidTr="0036283B">
        <w:tc>
          <w:tcPr>
            <w:tcW w:w="3085" w:type="dxa"/>
          </w:tcPr>
          <w:p w14:paraId="450AED66" w14:textId="77777777" w:rsidR="006B2FA9" w:rsidRDefault="006B2FA9" w:rsidP="00016315">
            <w:r>
              <w:t>1 – Mutation</w:t>
            </w:r>
            <w:r w:rsidR="0036283B">
              <w:t xml:space="preserve"> + Stem Cells</w:t>
            </w:r>
          </w:p>
        </w:tc>
        <w:tc>
          <w:tcPr>
            <w:tcW w:w="314" w:type="dxa"/>
          </w:tcPr>
          <w:p w14:paraId="4F4236CC" w14:textId="77777777" w:rsidR="006B2FA9" w:rsidRDefault="006B2FA9" w:rsidP="00016315"/>
          <w:p w14:paraId="3A3D1AA8" w14:textId="77777777" w:rsidR="006B2FA9" w:rsidRDefault="006B2FA9" w:rsidP="00016315"/>
        </w:tc>
        <w:tc>
          <w:tcPr>
            <w:tcW w:w="789" w:type="dxa"/>
          </w:tcPr>
          <w:p w14:paraId="5534841C" w14:textId="77777777" w:rsidR="006B2FA9" w:rsidRDefault="0036283B" w:rsidP="00016315">
            <w:r>
              <w:t>6</w:t>
            </w:r>
          </w:p>
        </w:tc>
        <w:tc>
          <w:tcPr>
            <w:tcW w:w="6268" w:type="dxa"/>
          </w:tcPr>
          <w:p w14:paraId="5ABD0149" w14:textId="77777777" w:rsidR="006B2FA9" w:rsidRDefault="006B2FA9" w:rsidP="00016315"/>
        </w:tc>
      </w:tr>
      <w:tr w:rsidR="006B2FA9" w14:paraId="3639645E" w14:textId="77777777" w:rsidTr="0036283B">
        <w:tc>
          <w:tcPr>
            <w:tcW w:w="3085" w:type="dxa"/>
          </w:tcPr>
          <w:p w14:paraId="0125CE60" w14:textId="77777777" w:rsidR="006B2FA9" w:rsidRDefault="006B2FA9" w:rsidP="00016315">
            <w:r>
              <w:t xml:space="preserve">2 – </w:t>
            </w:r>
            <w:r w:rsidR="0036283B">
              <w:t>Stem Cells</w:t>
            </w:r>
          </w:p>
        </w:tc>
        <w:tc>
          <w:tcPr>
            <w:tcW w:w="314" w:type="dxa"/>
          </w:tcPr>
          <w:p w14:paraId="226AE71C" w14:textId="77777777" w:rsidR="006B2FA9" w:rsidRDefault="006B2FA9" w:rsidP="00016315"/>
          <w:p w14:paraId="7A30D36B" w14:textId="77777777" w:rsidR="006B2FA9" w:rsidRDefault="006B2FA9" w:rsidP="00016315"/>
        </w:tc>
        <w:tc>
          <w:tcPr>
            <w:tcW w:w="789" w:type="dxa"/>
          </w:tcPr>
          <w:p w14:paraId="3E2BA8B2" w14:textId="77777777" w:rsidR="006B2FA9" w:rsidRDefault="0036283B" w:rsidP="00016315">
            <w:r>
              <w:t>5</w:t>
            </w:r>
          </w:p>
        </w:tc>
        <w:tc>
          <w:tcPr>
            <w:tcW w:w="6268" w:type="dxa"/>
          </w:tcPr>
          <w:p w14:paraId="2BF3776D" w14:textId="77777777" w:rsidR="006B2FA9" w:rsidRDefault="006B2FA9" w:rsidP="00016315"/>
        </w:tc>
      </w:tr>
      <w:tr w:rsidR="006B2FA9" w14:paraId="3BFB18F8" w14:textId="77777777" w:rsidTr="0036283B">
        <w:tc>
          <w:tcPr>
            <w:tcW w:w="3085" w:type="dxa"/>
          </w:tcPr>
          <w:p w14:paraId="52CC46D5" w14:textId="77777777" w:rsidR="006B2FA9" w:rsidRDefault="006B2FA9" w:rsidP="00016315">
            <w:r>
              <w:t xml:space="preserve">3 – </w:t>
            </w:r>
            <w:r w:rsidR="0036283B">
              <w:t>Regulating Gene Expression</w:t>
            </w:r>
          </w:p>
          <w:p w14:paraId="01C64DAC" w14:textId="77777777" w:rsidR="006B2FA9" w:rsidRDefault="006B2FA9" w:rsidP="00016315"/>
        </w:tc>
        <w:tc>
          <w:tcPr>
            <w:tcW w:w="314" w:type="dxa"/>
          </w:tcPr>
          <w:p w14:paraId="2F9E6F5D" w14:textId="77777777" w:rsidR="006B2FA9" w:rsidRDefault="006B2FA9" w:rsidP="00016315"/>
        </w:tc>
        <w:tc>
          <w:tcPr>
            <w:tcW w:w="789" w:type="dxa"/>
          </w:tcPr>
          <w:p w14:paraId="6C231F3F" w14:textId="77777777" w:rsidR="006B2FA9" w:rsidRDefault="0036283B" w:rsidP="00016315">
            <w:r>
              <w:t>9</w:t>
            </w:r>
          </w:p>
        </w:tc>
        <w:tc>
          <w:tcPr>
            <w:tcW w:w="6268" w:type="dxa"/>
          </w:tcPr>
          <w:p w14:paraId="1A72AA47" w14:textId="77777777" w:rsidR="006B2FA9" w:rsidRDefault="006B2FA9" w:rsidP="00016315"/>
        </w:tc>
      </w:tr>
      <w:tr w:rsidR="006B2FA9" w14:paraId="3C668F5E" w14:textId="77777777" w:rsidTr="0036283B">
        <w:tc>
          <w:tcPr>
            <w:tcW w:w="3085" w:type="dxa"/>
          </w:tcPr>
          <w:p w14:paraId="2AF9BE42" w14:textId="77777777" w:rsidR="006B2FA9" w:rsidRDefault="006B2FA9" w:rsidP="00016315">
            <w:r>
              <w:t xml:space="preserve">4 – </w:t>
            </w:r>
            <w:r w:rsidR="0036283B">
              <w:t>Regulating Gene Expression</w:t>
            </w:r>
          </w:p>
        </w:tc>
        <w:tc>
          <w:tcPr>
            <w:tcW w:w="314" w:type="dxa"/>
          </w:tcPr>
          <w:p w14:paraId="4A04AD7D" w14:textId="77777777" w:rsidR="006B2FA9" w:rsidRDefault="006B2FA9" w:rsidP="00016315"/>
          <w:p w14:paraId="30806123" w14:textId="77777777" w:rsidR="006B2FA9" w:rsidRDefault="006B2FA9" w:rsidP="00016315"/>
        </w:tc>
        <w:tc>
          <w:tcPr>
            <w:tcW w:w="789" w:type="dxa"/>
          </w:tcPr>
          <w:p w14:paraId="481B558E" w14:textId="77777777" w:rsidR="006B2FA9" w:rsidRDefault="0036283B" w:rsidP="00016315">
            <w:r>
              <w:t>4</w:t>
            </w:r>
          </w:p>
        </w:tc>
        <w:tc>
          <w:tcPr>
            <w:tcW w:w="6268" w:type="dxa"/>
          </w:tcPr>
          <w:p w14:paraId="5BADFA42" w14:textId="77777777" w:rsidR="006B2FA9" w:rsidRDefault="006B2FA9" w:rsidP="00016315"/>
        </w:tc>
      </w:tr>
      <w:tr w:rsidR="006B2FA9" w14:paraId="47C962BB" w14:textId="77777777" w:rsidTr="0036283B">
        <w:tc>
          <w:tcPr>
            <w:tcW w:w="3085" w:type="dxa"/>
          </w:tcPr>
          <w:p w14:paraId="4596D760" w14:textId="77777777" w:rsidR="006B2FA9" w:rsidRDefault="006B2FA9" w:rsidP="00016315">
            <w:r>
              <w:t xml:space="preserve">5 – </w:t>
            </w:r>
            <w:r w:rsidR="0036283B">
              <w:t>Cancer</w:t>
            </w:r>
          </w:p>
        </w:tc>
        <w:tc>
          <w:tcPr>
            <w:tcW w:w="314" w:type="dxa"/>
          </w:tcPr>
          <w:p w14:paraId="46D149A1" w14:textId="77777777" w:rsidR="006B2FA9" w:rsidRDefault="006B2FA9" w:rsidP="00016315"/>
          <w:p w14:paraId="66027177" w14:textId="77777777" w:rsidR="006B2FA9" w:rsidRDefault="006B2FA9" w:rsidP="00016315"/>
        </w:tc>
        <w:tc>
          <w:tcPr>
            <w:tcW w:w="789" w:type="dxa"/>
          </w:tcPr>
          <w:p w14:paraId="06C7C31E" w14:textId="77777777" w:rsidR="006B2FA9" w:rsidRDefault="0036283B" w:rsidP="00016315">
            <w:r>
              <w:t>7</w:t>
            </w:r>
          </w:p>
        </w:tc>
        <w:tc>
          <w:tcPr>
            <w:tcW w:w="6268" w:type="dxa"/>
          </w:tcPr>
          <w:p w14:paraId="3895040E" w14:textId="77777777" w:rsidR="006B2FA9" w:rsidRDefault="006B2FA9" w:rsidP="00016315"/>
        </w:tc>
      </w:tr>
      <w:tr w:rsidR="006B2FA9" w14:paraId="3AB59CBE" w14:textId="77777777" w:rsidTr="0036283B">
        <w:tc>
          <w:tcPr>
            <w:tcW w:w="3085" w:type="dxa"/>
          </w:tcPr>
          <w:p w14:paraId="13DD6B04" w14:textId="77777777" w:rsidR="006B2FA9" w:rsidRDefault="006B2FA9" w:rsidP="00016315">
            <w:r>
              <w:t xml:space="preserve">6 – </w:t>
            </w:r>
            <w:r w:rsidR="0036283B">
              <w:t>Cancer</w:t>
            </w:r>
          </w:p>
        </w:tc>
        <w:tc>
          <w:tcPr>
            <w:tcW w:w="314" w:type="dxa"/>
          </w:tcPr>
          <w:p w14:paraId="305F2C14" w14:textId="77777777" w:rsidR="006B2FA9" w:rsidRDefault="006B2FA9" w:rsidP="00016315"/>
          <w:p w14:paraId="4E2ADAE0" w14:textId="77777777" w:rsidR="006B2FA9" w:rsidRDefault="006B2FA9" w:rsidP="00016315"/>
        </w:tc>
        <w:tc>
          <w:tcPr>
            <w:tcW w:w="789" w:type="dxa"/>
          </w:tcPr>
          <w:p w14:paraId="5D1B9485" w14:textId="77777777" w:rsidR="006B2FA9" w:rsidRDefault="0036283B" w:rsidP="00016315">
            <w:r>
              <w:t>6</w:t>
            </w:r>
          </w:p>
        </w:tc>
        <w:tc>
          <w:tcPr>
            <w:tcW w:w="6268" w:type="dxa"/>
          </w:tcPr>
          <w:p w14:paraId="061DA7A8" w14:textId="77777777" w:rsidR="006B2FA9" w:rsidRDefault="006B2FA9" w:rsidP="00016315"/>
        </w:tc>
      </w:tr>
      <w:tr w:rsidR="0036283B" w14:paraId="1015EB78" w14:textId="77777777" w:rsidTr="0036283B">
        <w:tc>
          <w:tcPr>
            <w:tcW w:w="3085" w:type="dxa"/>
          </w:tcPr>
          <w:p w14:paraId="644AEE27" w14:textId="77777777" w:rsidR="0036283B" w:rsidRDefault="0036283B" w:rsidP="00016315">
            <w:r>
              <w:t>7 – Epigenetics</w:t>
            </w:r>
          </w:p>
          <w:p w14:paraId="299F32CC" w14:textId="77777777" w:rsidR="0036283B" w:rsidRDefault="0036283B" w:rsidP="00016315"/>
        </w:tc>
        <w:tc>
          <w:tcPr>
            <w:tcW w:w="314" w:type="dxa"/>
          </w:tcPr>
          <w:p w14:paraId="5B6C93C6" w14:textId="77777777" w:rsidR="0036283B" w:rsidRDefault="0036283B" w:rsidP="00016315"/>
        </w:tc>
        <w:tc>
          <w:tcPr>
            <w:tcW w:w="789" w:type="dxa"/>
          </w:tcPr>
          <w:p w14:paraId="6F6E00B2" w14:textId="77777777" w:rsidR="0036283B" w:rsidRDefault="0036283B" w:rsidP="00016315">
            <w:r>
              <w:t>3</w:t>
            </w:r>
          </w:p>
        </w:tc>
        <w:tc>
          <w:tcPr>
            <w:tcW w:w="6268" w:type="dxa"/>
          </w:tcPr>
          <w:p w14:paraId="6A1DB0D6" w14:textId="77777777" w:rsidR="0036283B" w:rsidRDefault="0036283B" w:rsidP="00016315"/>
        </w:tc>
      </w:tr>
      <w:tr w:rsidR="006B2FA9" w14:paraId="3DF98A6A" w14:textId="77777777" w:rsidTr="0036283B">
        <w:tc>
          <w:tcPr>
            <w:tcW w:w="3085" w:type="dxa"/>
          </w:tcPr>
          <w:p w14:paraId="33F71962" w14:textId="77777777" w:rsidR="006B2FA9" w:rsidRPr="001760DD" w:rsidRDefault="006B2FA9" w:rsidP="00016315">
            <w:pPr>
              <w:jc w:val="right"/>
              <w:rPr>
                <w:b/>
                <w:bCs/>
              </w:rPr>
            </w:pPr>
            <w:r w:rsidRPr="001760DD">
              <w:rPr>
                <w:b/>
                <w:bCs/>
              </w:rPr>
              <w:t>Total</w:t>
            </w:r>
          </w:p>
        </w:tc>
        <w:tc>
          <w:tcPr>
            <w:tcW w:w="314" w:type="dxa"/>
          </w:tcPr>
          <w:p w14:paraId="2995A6AF" w14:textId="77777777" w:rsidR="006B2FA9" w:rsidRDefault="006B2FA9" w:rsidP="00016315"/>
          <w:p w14:paraId="6D28587F" w14:textId="77777777" w:rsidR="006B2FA9" w:rsidRDefault="006B2FA9" w:rsidP="00016315"/>
        </w:tc>
        <w:tc>
          <w:tcPr>
            <w:tcW w:w="789" w:type="dxa"/>
          </w:tcPr>
          <w:p w14:paraId="3FD7E092" w14:textId="77777777" w:rsidR="006B2FA9" w:rsidRDefault="0036283B" w:rsidP="00016315">
            <w:r>
              <w:t>40</w:t>
            </w:r>
          </w:p>
        </w:tc>
        <w:tc>
          <w:tcPr>
            <w:tcW w:w="6268" w:type="dxa"/>
          </w:tcPr>
          <w:p w14:paraId="57CF122F" w14:textId="77777777" w:rsidR="006B2FA9" w:rsidRDefault="006B2FA9" w:rsidP="00016315"/>
        </w:tc>
      </w:tr>
    </w:tbl>
    <w:p w14:paraId="293FC938" w14:textId="77777777" w:rsidR="006B2FA9" w:rsidRDefault="006B2FA9" w:rsidP="006B2FA9">
      <w:pPr>
        <w:jc w:val="center"/>
        <w:rPr>
          <w:b/>
          <w:bCs/>
          <w:sz w:val="24"/>
          <w:szCs w:val="24"/>
        </w:rPr>
      </w:pPr>
    </w:p>
    <w:p w14:paraId="0F17327A" w14:textId="77777777" w:rsidR="00AA0D79" w:rsidRPr="006B2FA9" w:rsidRDefault="006B2FA9"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AA0D79">
        <w:rPr>
          <w:rFonts w:ascii="Arial" w:hAnsi="Arial" w:cs="Arial"/>
          <w:b/>
          <w:bCs/>
          <w:color w:val="000000"/>
          <w:sz w:val="27"/>
          <w:szCs w:val="27"/>
        </w:rPr>
        <w:t>1.</w:t>
      </w:r>
      <w:r>
        <w:rPr>
          <w:rFonts w:ascii="Arial" w:hAnsi="Arial" w:cs="Arial"/>
          <w:b/>
          <w:bCs/>
          <w:color w:val="000000"/>
          <w:sz w:val="27"/>
          <w:szCs w:val="27"/>
        </w:rPr>
        <w:t xml:space="preserve"> </w:t>
      </w:r>
      <w:r w:rsidR="00AA0D79">
        <w:rPr>
          <w:rFonts w:ascii="Arial" w:hAnsi="Arial" w:cs="Arial"/>
        </w:rPr>
        <w:t>Sickle cell disease (SCD) is a group of inherited disorders. People with SCD have sickle-shaped red blood cells. A single base substitution mutation can cause one type of SCD. This mutation causes a change in the structure of the beta polypeptide chains in haemoglobin.</w:t>
      </w:r>
    </w:p>
    <w:p w14:paraId="07F83097"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Explain how a single base substitution causes a change in the structure of this polypeptide.</w:t>
      </w:r>
    </w:p>
    <w:p w14:paraId="576CC228"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Do </w:t>
      </w:r>
      <w:r>
        <w:rPr>
          <w:rFonts w:ascii="Arial" w:hAnsi="Arial" w:cs="Arial"/>
          <w:b/>
          <w:bCs/>
        </w:rPr>
        <w:t>not</w:t>
      </w:r>
      <w:r>
        <w:rPr>
          <w:rFonts w:ascii="Arial" w:hAnsi="Arial" w:cs="Arial"/>
        </w:rPr>
        <w:t xml:space="preserve"> include details of transcription and translation in your answer.</w:t>
      </w:r>
    </w:p>
    <w:p w14:paraId="0261664E"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9E75C8"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196361"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067C65"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DF07C9"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3A5C60"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F684C0"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4F843A"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90940A" w14:textId="77777777" w:rsidR="00AA0D79" w:rsidRDefault="00AA0D7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3D8C1DEC" w14:textId="77777777" w:rsidR="0036283B" w:rsidRDefault="0036283B">
      <w:pPr>
        <w:widowControl w:val="0"/>
        <w:autoSpaceDE w:val="0"/>
        <w:autoSpaceDN w:val="0"/>
        <w:adjustRightInd w:val="0"/>
        <w:spacing w:before="240" w:after="0" w:line="240" w:lineRule="auto"/>
        <w:ind w:left="567" w:right="567"/>
        <w:rPr>
          <w:rFonts w:ascii="Arial" w:hAnsi="Arial" w:cs="Arial"/>
        </w:rPr>
      </w:pPr>
    </w:p>
    <w:p w14:paraId="4364BBDA" w14:textId="77777777" w:rsidR="0036283B" w:rsidRDefault="0036283B">
      <w:pPr>
        <w:widowControl w:val="0"/>
        <w:autoSpaceDE w:val="0"/>
        <w:autoSpaceDN w:val="0"/>
        <w:adjustRightInd w:val="0"/>
        <w:spacing w:before="240" w:after="0" w:line="240" w:lineRule="auto"/>
        <w:ind w:left="567" w:right="567"/>
        <w:rPr>
          <w:rFonts w:ascii="Arial" w:hAnsi="Arial" w:cs="Arial"/>
        </w:rPr>
      </w:pPr>
    </w:p>
    <w:p w14:paraId="0A87813A" w14:textId="77777777" w:rsidR="00AA0D79" w:rsidRDefault="00AA0D79">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Haematopoietic stem cell transplantation (HSCT) is a long-term treatment for SCD. In HSCT, the patient receives stem cells from the bone marrow of a person who does not have SCD. The donor is often the patient’s brother or sister. Before the treatment starts, the patient’s faulty bone marrow cells have to be destroyed.</w:t>
      </w:r>
    </w:p>
    <w:p w14:paraId="0B75382F"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Use this information to explain how HSCT is an effective long-term treatment for SCD.</w:t>
      </w:r>
    </w:p>
    <w:p w14:paraId="2AF919B3"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5BAB77"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CDB9FE"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64FCE0"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45C84F"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225B9D"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215282"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66E8BE" w14:textId="77777777" w:rsidR="00AA0D79" w:rsidRDefault="00AA0D7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8FB9E9D" w14:textId="77777777" w:rsidR="00AA0D79" w:rsidRPr="006B2FA9" w:rsidRDefault="00AA0D79" w:rsidP="006B2FA9">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Q2.</w:t>
      </w:r>
      <w:r w:rsidR="006B2FA9">
        <w:rPr>
          <w:rFonts w:ascii="Arial" w:hAnsi="Arial" w:cs="Arial"/>
          <w:b/>
          <w:bCs/>
          <w:color w:val="000000"/>
          <w:sz w:val="27"/>
          <w:szCs w:val="27"/>
        </w:rPr>
        <w:t xml:space="preserve"> </w:t>
      </w:r>
      <w:r>
        <w:rPr>
          <w:rFonts w:ascii="Arial" w:hAnsi="Arial" w:cs="Arial"/>
        </w:rPr>
        <w:t xml:space="preserve">Plant physiologists attempted to produce papaya plants using tissue culture. They investigated the effects of different concentrations of two plant growth factors on small pieces of the stem tip from a papaya plant. Their results are shown in the table. </w:t>
      </w:r>
    </w:p>
    <w:p w14:paraId="38009B7E" w14:textId="77777777" w:rsidR="00AA0D79" w:rsidRDefault="00AA0D7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756" w:type="dxa"/>
        <w:tblLayout w:type="fixed"/>
        <w:tblCellMar>
          <w:left w:w="75" w:type="dxa"/>
          <w:right w:w="75" w:type="dxa"/>
        </w:tblCellMar>
        <w:tblLook w:val="0000" w:firstRow="0" w:lastRow="0" w:firstColumn="0" w:lastColumn="0" w:noHBand="0" w:noVBand="0"/>
      </w:tblPr>
      <w:tblGrid>
        <w:gridCol w:w="2335"/>
        <w:gridCol w:w="2227"/>
        <w:gridCol w:w="2228"/>
        <w:gridCol w:w="2210"/>
      </w:tblGrid>
      <w:tr w:rsidR="00AA0D79" w14:paraId="7E96B892" w14:textId="77777777">
        <w:tblPrEx>
          <w:tblCellMar>
            <w:top w:w="0" w:type="dxa"/>
            <w:bottom w:w="0" w:type="dxa"/>
          </w:tblCellMar>
        </w:tblPrEx>
        <w:tc>
          <w:tcPr>
            <w:tcW w:w="2335" w:type="dxa"/>
            <w:vMerge w:val="restart"/>
            <w:tcBorders>
              <w:top w:val="single" w:sz="8" w:space="0" w:color="000000"/>
              <w:left w:val="single" w:sz="8" w:space="0" w:color="000000"/>
              <w:bottom w:val="single" w:sz="8" w:space="0" w:color="000000"/>
              <w:right w:val="single" w:sz="8" w:space="0" w:color="000000"/>
            </w:tcBorders>
            <w:tcMar>
              <w:left w:w="108" w:type="dxa"/>
              <w:right w:w="108" w:type="dxa"/>
            </w:tcMar>
          </w:tcPr>
          <w:p w14:paraId="0A59FBEE" w14:textId="77777777" w:rsidR="00AA0D79" w:rsidRDefault="00AA0D79">
            <w:pPr>
              <w:widowControl w:val="0"/>
              <w:autoSpaceDE w:val="0"/>
              <w:autoSpaceDN w:val="0"/>
              <w:adjustRightInd w:val="0"/>
              <w:spacing w:before="120" w:after="120" w:line="240" w:lineRule="auto"/>
              <w:jc w:val="center"/>
              <w:rPr>
                <w:rFonts w:ascii="Arial" w:hAnsi="Arial" w:cs="Arial"/>
                <w:b/>
                <w:bCs/>
                <w:sz w:val="20"/>
                <w:szCs w:val="20"/>
                <w:vertAlign w:val="superscript"/>
              </w:rPr>
            </w:pPr>
            <w:r>
              <w:rPr>
                <w:rFonts w:ascii="Arial" w:hAnsi="Arial" w:cs="Arial"/>
                <w:b/>
                <w:bCs/>
              </w:rPr>
              <w:t>Concentration of</w:t>
            </w:r>
            <w:r>
              <w:rPr>
                <w:rFonts w:ascii="Arial" w:hAnsi="Arial" w:cs="Arial"/>
                <w:b/>
                <w:bCs/>
              </w:rPr>
              <w:br/>
              <w:t>auxin / μmol dm</w:t>
            </w:r>
            <w:r>
              <w:rPr>
                <w:rFonts w:ascii="Arial" w:hAnsi="Arial" w:cs="Arial"/>
                <w:b/>
                <w:bCs/>
                <w:sz w:val="20"/>
                <w:szCs w:val="20"/>
                <w:vertAlign w:val="superscript"/>
              </w:rPr>
              <w:t>–3</w:t>
            </w:r>
          </w:p>
        </w:tc>
        <w:tc>
          <w:tcPr>
            <w:tcW w:w="6665" w:type="dxa"/>
            <w:gridSpan w:val="3"/>
            <w:tcBorders>
              <w:top w:val="single" w:sz="8" w:space="0" w:color="000000"/>
              <w:left w:val="nil"/>
              <w:bottom w:val="single" w:sz="8" w:space="0" w:color="000000"/>
              <w:right w:val="single" w:sz="8" w:space="0" w:color="000000"/>
            </w:tcBorders>
            <w:tcMar>
              <w:left w:w="108" w:type="dxa"/>
              <w:right w:w="108" w:type="dxa"/>
            </w:tcMar>
          </w:tcPr>
          <w:p w14:paraId="3922940E" w14:textId="77777777" w:rsidR="00AA0D79" w:rsidRDefault="00AA0D79">
            <w:pPr>
              <w:widowControl w:val="0"/>
              <w:autoSpaceDE w:val="0"/>
              <w:autoSpaceDN w:val="0"/>
              <w:adjustRightInd w:val="0"/>
              <w:spacing w:before="120" w:after="120" w:line="240" w:lineRule="auto"/>
              <w:jc w:val="center"/>
              <w:rPr>
                <w:rFonts w:ascii="Arial" w:hAnsi="Arial" w:cs="Arial"/>
                <w:b/>
                <w:bCs/>
                <w:sz w:val="20"/>
                <w:szCs w:val="20"/>
                <w:vertAlign w:val="superscript"/>
              </w:rPr>
            </w:pPr>
            <w:r>
              <w:rPr>
                <w:rFonts w:ascii="Arial" w:hAnsi="Arial" w:cs="Arial"/>
                <w:b/>
                <w:bCs/>
              </w:rPr>
              <w:t>Concentration of cytokinin / μmol dm</w:t>
            </w:r>
            <w:r>
              <w:rPr>
                <w:rFonts w:ascii="Arial" w:hAnsi="Arial" w:cs="Arial"/>
                <w:b/>
                <w:bCs/>
                <w:sz w:val="20"/>
                <w:szCs w:val="20"/>
                <w:vertAlign w:val="superscript"/>
              </w:rPr>
              <w:t>–3</w:t>
            </w:r>
          </w:p>
        </w:tc>
      </w:tr>
      <w:tr w:rsidR="00AA0D79" w14:paraId="665F843F" w14:textId="77777777">
        <w:tblPrEx>
          <w:tblCellMar>
            <w:top w:w="0" w:type="dxa"/>
            <w:bottom w:w="0" w:type="dxa"/>
          </w:tblCellMar>
        </w:tblPrEx>
        <w:tc>
          <w:tcPr>
            <w:tcW w:w="2335" w:type="dxa"/>
            <w:vMerge/>
            <w:tcBorders>
              <w:top w:val="single" w:sz="8" w:space="0" w:color="000000"/>
              <w:left w:val="single" w:sz="8" w:space="0" w:color="000000"/>
              <w:bottom w:val="single" w:sz="8" w:space="0" w:color="000000"/>
              <w:right w:val="single" w:sz="8" w:space="0" w:color="000000"/>
            </w:tcBorders>
            <w:tcMar>
              <w:left w:w="108" w:type="dxa"/>
              <w:right w:w="108" w:type="dxa"/>
            </w:tcMar>
          </w:tcPr>
          <w:p w14:paraId="7733B0EC" w14:textId="77777777" w:rsidR="00AA0D79" w:rsidRDefault="00AA0D79">
            <w:pPr>
              <w:widowControl w:val="0"/>
              <w:autoSpaceDE w:val="0"/>
              <w:autoSpaceDN w:val="0"/>
              <w:adjustRightInd w:val="0"/>
              <w:spacing w:after="0" w:line="240" w:lineRule="auto"/>
              <w:rPr>
                <w:rFonts w:ascii="Arial" w:hAnsi="Arial" w:cs="Arial"/>
                <w:b/>
                <w:bCs/>
                <w:sz w:val="20"/>
                <w:szCs w:val="20"/>
                <w:vertAlign w:val="superscript"/>
              </w:rPr>
            </w:pPr>
          </w:p>
        </w:tc>
        <w:tc>
          <w:tcPr>
            <w:tcW w:w="2227" w:type="dxa"/>
            <w:tcBorders>
              <w:top w:val="nil"/>
              <w:left w:val="nil"/>
              <w:bottom w:val="single" w:sz="8" w:space="0" w:color="000000"/>
              <w:right w:val="single" w:sz="8" w:space="0" w:color="000000"/>
            </w:tcBorders>
            <w:tcMar>
              <w:left w:w="108" w:type="dxa"/>
              <w:right w:w="108" w:type="dxa"/>
            </w:tcMar>
          </w:tcPr>
          <w:p w14:paraId="15173F8E"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5</w:t>
            </w:r>
          </w:p>
        </w:tc>
        <w:tc>
          <w:tcPr>
            <w:tcW w:w="2228" w:type="dxa"/>
            <w:tcBorders>
              <w:top w:val="nil"/>
              <w:left w:val="nil"/>
              <w:bottom w:val="single" w:sz="8" w:space="0" w:color="000000"/>
              <w:right w:val="single" w:sz="8" w:space="0" w:color="000000"/>
            </w:tcBorders>
            <w:tcMar>
              <w:left w:w="108" w:type="dxa"/>
              <w:right w:w="108" w:type="dxa"/>
            </w:tcMar>
          </w:tcPr>
          <w:p w14:paraId="37EDDAC4"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25</w:t>
            </w:r>
          </w:p>
        </w:tc>
        <w:tc>
          <w:tcPr>
            <w:tcW w:w="2210" w:type="dxa"/>
            <w:tcBorders>
              <w:top w:val="nil"/>
              <w:left w:val="nil"/>
              <w:bottom w:val="single" w:sz="8" w:space="0" w:color="000000"/>
              <w:right w:val="single" w:sz="8" w:space="0" w:color="000000"/>
            </w:tcBorders>
            <w:tcMar>
              <w:left w:w="108" w:type="dxa"/>
              <w:right w:w="108" w:type="dxa"/>
            </w:tcMar>
          </w:tcPr>
          <w:p w14:paraId="3AEE632D"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50</w:t>
            </w:r>
          </w:p>
        </w:tc>
      </w:tr>
      <w:tr w:rsidR="00AA0D79" w14:paraId="778F05FD" w14:textId="77777777">
        <w:tblPrEx>
          <w:tblCellMar>
            <w:top w:w="0" w:type="dxa"/>
            <w:bottom w:w="0" w:type="dxa"/>
          </w:tblCellMar>
        </w:tblPrEx>
        <w:tc>
          <w:tcPr>
            <w:tcW w:w="2335" w:type="dxa"/>
            <w:tcBorders>
              <w:top w:val="nil"/>
              <w:left w:val="single" w:sz="8" w:space="0" w:color="000000"/>
              <w:bottom w:val="single" w:sz="8" w:space="0" w:color="000000"/>
              <w:right w:val="single" w:sz="8" w:space="0" w:color="000000"/>
            </w:tcBorders>
            <w:tcMar>
              <w:left w:w="108" w:type="dxa"/>
              <w:right w:w="108" w:type="dxa"/>
            </w:tcMar>
            <w:vAlign w:val="center"/>
          </w:tcPr>
          <w:p w14:paraId="796148FD" w14:textId="77777777" w:rsidR="00AA0D79" w:rsidRDefault="00AA0D79">
            <w:pPr>
              <w:widowControl w:val="0"/>
              <w:autoSpaceDE w:val="0"/>
              <w:autoSpaceDN w:val="0"/>
              <w:adjustRightInd w:val="0"/>
              <w:spacing w:before="180" w:after="180" w:line="240" w:lineRule="auto"/>
              <w:jc w:val="center"/>
              <w:rPr>
                <w:rFonts w:ascii="Arial" w:hAnsi="Arial" w:cs="Arial"/>
              </w:rPr>
            </w:pPr>
            <w:r>
              <w:rPr>
                <w:rFonts w:ascii="Arial" w:hAnsi="Arial" w:cs="Arial"/>
              </w:rPr>
              <w:t>0</w:t>
            </w:r>
          </w:p>
        </w:tc>
        <w:tc>
          <w:tcPr>
            <w:tcW w:w="2227" w:type="dxa"/>
            <w:tcBorders>
              <w:top w:val="nil"/>
              <w:left w:val="nil"/>
              <w:bottom w:val="single" w:sz="8" w:space="0" w:color="000000"/>
              <w:right w:val="single" w:sz="8" w:space="0" w:color="000000"/>
            </w:tcBorders>
            <w:tcMar>
              <w:left w:w="108" w:type="dxa"/>
              <w:right w:w="108" w:type="dxa"/>
            </w:tcMar>
            <w:vAlign w:val="center"/>
          </w:tcPr>
          <w:p w14:paraId="243A0587" w14:textId="77777777" w:rsidR="00AA0D79" w:rsidRDefault="00AA0D79">
            <w:pPr>
              <w:widowControl w:val="0"/>
              <w:autoSpaceDE w:val="0"/>
              <w:autoSpaceDN w:val="0"/>
              <w:adjustRightInd w:val="0"/>
              <w:spacing w:before="180" w:after="180" w:line="240" w:lineRule="auto"/>
              <w:jc w:val="center"/>
              <w:rPr>
                <w:rFonts w:ascii="Arial" w:hAnsi="Arial" w:cs="Arial"/>
              </w:rPr>
            </w:pPr>
            <w:r>
              <w:rPr>
                <w:rFonts w:ascii="Arial" w:hAnsi="Arial" w:cs="Arial"/>
              </w:rPr>
              <w:t>No effect</w:t>
            </w:r>
          </w:p>
        </w:tc>
        <w:tc>
          <w:tcPr>
            <w:tcW w:w="2228" w:type="dxa"/>
            <w:tcBorders>
              <w:top w:val="nil"/>
              <w:left w:val="nil"/>
              <w:bottom w:val="single" w:sz="8" w:space="0" w:color="000000"/>
              <w:right w:val="single" w:sz="8" w:space="0" w:color="000000"/>
            </w:tcBorders>
            <w:tcMar>
              <w:left w:w="108" w:type="dxa"/>
              <w:right w:w="108" w:type="dxa"/>
            </w:tcMar>
            <w:vAlign w:val="center"/>
          </w:tcPr>
          <w:p w14:paraId="60F2CA02" w14:textId="77777777" w:rsidR="00AA0D79" w:rsidRDefault="00AA0D79">
            <w:pPr>
              <w:widowControl w:val="0"/>
              <w:autoSpaceDE w:val="0"/>
              <w:autoSpaceDN w:val="0"/>
              <w:adjustRightInd w:val="0"/>
              <w:spacing w:before="180" w:after="180" w:line="240" w:lineRule="auto"/>
              <w:jc w:val="center"/>
              <w:rPr>
                <w:rFonts w:ascii="Arial" w:hAnsi="Arial" w:cs="Arial"/>
              </w:rPr>
            </w:pPr>
            <w:r>
              <w:rPr>
                <w:rFonts w:ascii="Arial" w:hAnsi="Arial" w:cs="Arial"/>
              </w:rPr>
              <w:t>No effect</w:t>
            </w:r>
          </w:p>
        </w:tc>
        <w:tc>
          <w:tcPr>
            <w:tcW w:w="2210" w:type="dxa"/>
            <w:tcBorders>
              <w:top w:val="nil"/>
              <w:left w:val="nil"/>
              <w:bottom w:val="single" w:sz="8" w:space="0" w:color="000000"/>
              <w:right w:val="single" w:sz="8" w:space="0" w:color="000000"/>
            </w:tcBorders>
            <w:tcMar>
              <w:left w:w="108" w:type="dxa"/>
              <w:right w:w="108" w:type="dxa"/>
            </w:tcMar>
            <w:vAlign w:val="center"/>
          </w:tcPr>
          <w:p w14:paraId="5D3C90E2" w14:textId="77777777" w:rsidR="00AA0D79" w:rsidRDefault="00AA0D79">
            <w:pPr>
              <w:widowControl w:val="0"/>
              <w:autoSpaceDE w:val="0"/>
              <w:autoSpaceDN w:val="0"/>
              <w:adjustRightInd w:val="0"/>
              <w:spacing w:before="180" w:after="180" w:line="240" w:lineRule="auto"/>
              <w:jc w:val="center"/>
              <w:rPr>
                <w:rFonts w:ascii="Arial" w:hAnsi="Arial" w:cs="Arial"/>
              </w:rPr>
            </w:pPr>
            <w:r>
              <w:rPr>
                <w:rFonts w:ascii="Arial" w:hAnsi="Arial" w:cs="Arial"/>
              </w:rPr>
              <w:t>Leaves produced</w:t>
            </w:r>
          </w:p>
        </w:tc>
      </w:tr>
      <w:tr w:rsidR="00AA0D79" w14:paraId="53067FA0" w14:textId="77777777">
        <w:tblPrEx>
          <w:tblCellMar>
            <w:top w:w="0" w:type="dxa"/>
            <w:bottom w:w="0" w:type="dxa"/>
          </w:tblCellMar>
        </w:tblPrEx>
        <w:tc>
          <w:tcPr>
            <w:tcW w:w="2335" w:type="dxa"/>
            <w:tcBorders>
              <w:top w:val="nil"/>
              <w:left w:val="single" w:sz="8" w:space="0" w:color="000000"/>
              <w:bottom w:val="single" w:sz="8" w:space="0" w:color="000000"/>
              <w:right w:val="single" w:sz="8" w:space="0" w:color="000000"/>
            </w:tcBorders>
            <w:tcMar>
              <w:left w:w="108" w:type="dxa"/>
              <w:right w:w="108" w:type="dxa"/>
            </w:tcMar>
            <w:vAlign w:val="center"/>
          </w:tcPr>
          <w:p w14:paraId="44E5BD96" w14:textId="77777777" w:rsidR="00AA0D79" w:rsidRDefault="00AA0D79">
            <w:pPr>
              <w:widowControl w:val="0"/>
              <w:autoSpaceDE w:val="0"/>
              <w:autoSpaceDN w:val="0"/>
              <w:adjustRightInd w:val="0"/>
              <w:spacing w:before="180" w:after="180" w:line="240" w:lineRule="auto"/>
              <w:jc w:val="center"/>
              <w:rPr>
                <w:rFonts w:ascii="Arial" w:hAnsi="Arial" w:cs="Arial"/>
              </w:rPr>
            </w:pPr>
            <w:r>
              <w:rPr>
                <w:rFonts w:ascii="Arial" w:hAnsi="Arial" w:cs="Arial"/>
              </w:rPr>
              <w:t>1</w:t>
            </w:r>
          </w:p>
        </w:tc>
        <w:tc>
          <w:tcPr>
            <w:tcW w:w="2227" w:type="dxa"/>
            <w:tcBorders>
              <w:top w:val="nil"/>
              <w:left w:val="nil"/>
              <w:bottom w:val="single" w:sz="8" w:space="0" w:color="000000"/>
              <w:right w:val="single" w:sz="8" w:space="0" w:color="000000"/>
            </w:tcBorders>
            <w:tcMar>
              <w:left w:w="108" w:type="dxa"/>
              <w:right w:w="108" w:type="dxa"/>
            </w:tcMar>
            <w:vAlign w:val="center"/>
          </w:tcPr>
          <w:p w14:paraId="3CA6F4F1" w14:textId="77777777" w:rsidR="00AA0D79" w:rsidRDefault="00AA0D79">
            <w:pPr>
              <w:widowControl w:val="0"/>
              <w:autoSpaceDE w:val="0"/>
              <w:autoSpaceDN w:val="0"/>
              <w:adjustRightInd w:val="0"/>
              <w:spacing w:before="180" w:after="180" w:line="240" w:lineRule="auto"/>
              <w:jc w:val="center"/>
              <w:rPr>
                <w:rFonts w:ascii="Arial" w:hAnsi="Arial" w:cs="Arial"/>
              </w:rPr>
            </w:pPr>
            <w:r>
              <w:rPr>
                <w:rFonts w:ascii="Arial" w:hAnsi="Arial" w:cs="Arial"/>
              </w:rPr>
              <w:t>No effect</w:t>
            </w:r>
          </w:p>
        </w:tc>
        <w:tc>
          <w:tcPr>
            <w:tcW w:w="2228" w:type="dxa"/>
            <w:tcBorders>
              <w:top w:val="nil"/>
              <w:left w:val="nil"/>
              <w:bottom w:val="single" w:sz="8" w:space="0" w:color="000000"/>
              <w:right w:val="single" w:sz="8" w:space="0" w:color="000000"/>
            </w:tcBorders>
            <w:tcMar>
              <w:left w:w="108" w:type="dxa"/>
              <w:right w:w="108" w:type="dxa"/>
            </w:tcMar>
            <w:vAlign w:val="center"/>
          </w:tcPr>
          <w:p w14:paraId="6C0F8608" w14:textId="77777777" w:rsidR="00AA0D79" w:rsidRDefault="00AA0D79">
            <w:pPr>
              <w:widowControl w:val="0"/>
              <w:autoSpaceDE w:val="0"/>
              <w:autoSpaceDN w:val="0"/>
              <w:adjustRightInd w:val="0"/>
              <w:spacing w:before="180" w:after="180" w:line="240" w:lineRule="auto"/>
              <w:jc w:val="center"/>
              <w:rPr>
                <w:rFonts w:ascii="Arial" w:hAnsi="Arial" w:cs="Arial"/>
              </w:rPr>
            </w:pPr>
            <w:r>
              <w:rPr>
                <w:rFonts w:ascii="Arial" w:hAnsi="Arial" w:cs="Arial"/>
              </w:rPr>
              <w:t>Leaves produced</w:t>
            </w:r>
          </w:p>
        </w:tc>
        <w:tc>
          <w:tcPr>
            <w:tcW w:w="2210" w:type="dxa"/>
            <w:tcBorders>
              <w:top w:val="nil"/>
              <w:left w:val="nil"/>
              <w:bottom w:val="single" w:sz="8" w:space="0" w:color="000000"/>
              <w:right w:val="single" w:sz="8" w:space="0" w:color="000000"/>
            </w:tcBorders>
            <w:tcMar>
              <w:left w:w="108" w:type="dxa"/>
              <w:right w:w="108" w:type="dxa"/>
            </w:tcMar>
            <w:vAlign w:val="center"/>
          </w:tcPr>
          <w:p w14:paraId="2A95E1DC" w14:textId="77777777" w:rsidR="00AA0D79" w:rsidRDefault="00AA0D79">
            <w:pPr>
              <w:widowControl w:val="0"/>
              <w:autoSpaceDE w:val="0"/>
              <w:autoSpaceDN w:val="0"/>
              <w:adjustRightInd w:val="0"/>
              <w:spacing w:before="180" w:after="180" w:line="240" w:lineRule="auto"/>
              <w:jc w:val="center"/>
              <w:rPr>
                <w:rFonts w:ascii="Arial" w:hAnsi="Arial" w:cs="Arial"/>
              </w:rPr>
            </w:pPr>
            <w:r>
              <w:rPr>
                <w:rFonts w:ascii="Arial" w:hAnsi="Arial" w:cs="Arial"/>
              </w:rPr>
              <w:t>Leaves produced</w:t>
            </w:r>
          </w:p>
        </w:tc>
      </w:tr>
      <w:tr w:rsidR="00AA0D79" w14:paraId="761E886E" w14:textId="77777777">
        <w:tblPrEx>
          <w:tblCellMar>
            <w:top w:w="0" w:type="dxa"/>
            <w:bottom w:w="0" w:type="dxa"/>
          </w:tblCellMar>
        </w:tblPrEx>
        <w:tc>
          <w:tcPr>
            <w:tcW w:w="2335" w:type="dxa"/>
            <w:tcBorders>
              <w:top w:val="nil"/>
              <w:left w:val="single" w:sz="8" w:space="0" w:color="000000"/>
              <w:bottom w:val="single" w:sz="8" w:space="0" w:color="000000"/>
              <w:right w:val="single" w:sz="8" w:space="0" w:color="000000"/>
            </w:tcBorders>
            <w:tcMar>
              <w:left w:w="108" w:type="dxa"/>
              <w:right w:w="108" w:type="dxa"/>
            </w:tcMar>
            <w:vAlign w:val="center"/>
          </w:tcPr>
          <w:p w14:paraId="3B5AFAA3"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5</w:t>
            </w:r>
          </w:p>
        </w:tc>
        <w:tc>
          <w:tcPr>
            <w:tcW w:w="2227" w:type="dxa"/>
            <w:tcBorders>
              <w:top w:val="nil"/>
              <w:left w:val="nil"/>
              <w:bottom w:val="single" w:sz="8" w:space="0" w:color="000000"/>
              <w:right w:val="single" w:sz="8" w:space="0" w:color="000000"/>
            </w:tcBorders>
            <w:tcMar>
              <w:left w:w="108" w:type="dxa"/>
              <w:right w:w="108" w:type="dxa"/>
            </w:tcMar>
            <w:vAlign w:val="center"/>
          </w:tcPr>
          <w:p w14:paraId="2C4E0D11"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No effect</w:t>
            </w:r>
          </w:p>
        </w:tc>
        <w:tc>
          <w:tcPr>
            <w:tcW w:w="2228" w:type="dxa"/>
            <w:tcBorders>
              <w:top w:val="nil"/>
              <w:left w:val="nil"/>
              <w:bottom w:val="single" w:sz="8" w:space="0" w:color="000000"/>
              <w:right w:val="single" w:sz="8" w:space="0" w:color="000000"/>
            </w:tcBorders>
            <w:tcMar>
              <w:left w:w="108" w:type="dxa"/>
              <w:right w:w="108" w:type="dxa"/>
            </w:tcMar>
            <w:vAlign w:val="center"/>
          </w:tcPr>
          <w:p w14:paraId="49581473"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Leaves produced</w:t>
            </w:r>
          </w:p>
        </w:tc>
        <w:tc>
          <w:tcPr>
            <w:tcW w:w="2210" w:type="dxa"/>
            <w:tcBorders>
              <w:top w:val="nil"/>
              <w:left w:val="nil"/>
              <w:bottom w:val="single" w:sz="8" w:space="0" w:color="000000"/>
              <w:right w:val="single" w:sz="8" w:space="0" w:color="000000"/>
            </w:tcBorders>
            <w:tcMar>
              <w:left w:w="108" w:type="dxa"/>
              <w:right w:w="108" w:type="dxa"/>
            </w:tcMar>
            <w:vAlign w:val="center"/>
          </w:tcPr>
          <w:p w14:paraId="5315605C"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Leaves and some plantlets produced</w:t>
            </w:r>
          </w:p>
        </w:tc>
      </w:tr>
      <w:tr w:rsidR="00AA0D79" w14:paraId="616706C7" w14:textId="77777777">
        <w:tblPrEx>
          <w:tblCellMar>
            <w:top w:w="0" w:type="dxa"/>
            <w:bottom w:w="0" w:type="dxa"/>
          </w:tblCellMar>
        </w:tblPrEx>
        <w:tc>
          <w:tcPr>
            <w:tcW w:w="2335" w:type="dxa"/>
            <w:tcBorders>
              <w:top w:val="nil"/>
              <w:left w:val="single" w:sz="8" w:space="0" w:color="000000"/>
              <w:bottom w:val="single" w:sz="8" w:space="0" w:color="000000"/>
              <w:right w:val="single" w:sz="8" w:space="0" w:color="000000"/>
            </w:tcBorders>
            <w:tcMar>
              <w:left w:w="108" w:type="dxa"/>
              <w:right w:w="108" w:type="dxa"/>
            </w:tcMar>
            <w:vAlign w:val="center"/>
          </w:tcPr>
          <w:p w14:paraId="0C64CA17"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10</w:t>
            </w:r>
          </w:p>
        </w:tc>
        <w:tc>
          <w:tcPr>
            <w:tcW w:w="2227" w:type="dxa"/>
            <w:tcBorders>
              <w:top w:val="nil"/>
              <w:left w:val="nil"/>
              <w:bottom w:val="single" w:sz="8" w:space="0" w:color="000000"/>
              <w:right w:val="single" w:sz="8" w:space="0" w:color="000000"/>
            </w:tcBorders>
            <w:tcMar>
              <w:left w:w="108" w:type="dxa"/>
              <w:right w:w="108" w:type="dxa"/>
            </w:tcMar>
            <w:vAlign w:val="center"/>
          </w:tcPr>
          <w:p w14:paraId="11A99E03"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Callus produced</w:t>
            </w:r>
          </w:p>
        </w:tc>
        <w:tc>
          <w:tcPr>
            <w:tcW w:w="2228" w:type="dxa"/>
            <w:tcBorders>
              <w:top w:val="nil"/>
              <w:left w:val="nil"/>
              <w:bottom w:val="single" w:sz="8" w:space="0" w:color="000000"/>
              <w:right w:val="single" w:sz="8" w:space="0" w:color="000000"/>
            </w:tcBorders>
            <w:tcMar>
              <w:left w:w="108" w:type="dxa"/>
              <w:right w:w="108" w:type="dxa"/>
            </w:tcMar>
            <w:vAlign w:val="center"/>
          </w:tcPr>
          <w:p w14:paraId="331FA1C5"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Leaves and some plantlets produced</w:t>
            </w:r>
          </w:p>
        </w:tc>
        <w:tc>
          <w:tcPr>
            <w:tcW w:w="2210" w:type="dxa"/>
            <w:tcBorders>
              <w:top w:val="nil"/>
              <w:left w:val="nil"/>
              <w:bottom w:val="single" w:sz="8" w:space="0" w:color="000000"/>
              <w:right w:val="single" w:sz="8" w:space="0" w:color="000000"/>
            </w:tcBorders>
            <w:tcMar>
              <w:left w:w="108" w:type="dxa"/>
              <w:right w:w="108" w:type="dxa"/>
            </w:tcMar>
            <w:vAlign w:val="center"/>
          </w:tcPr>
          <w:p w14:paraId="5F8DE3BF"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Plantlets produced</w:t>
            </w:r>
          </w:p>
        </w:tc>
      </w:tr>
      <w:tr w:rsidR="00AA0D79" w14:paraId="43BB9D8A" w14:textId="77777777">
        <w:tblPrEx>
          <w:tblCellMar>
            <w:top w:w="0" w:type="dxa"/>
            <w:bottom w:w="0" w:type="dxa"/>
          </w:tblCellMar>
        </w:tblPrEx>
        <w:tc>
          <w:tcPr>
            <w:tcW w:w="2335" w:type="dxa"/>
            <w:tcBorders>
              <w:top w:val="nil"/>
              <w:left w:val="single" w:sz="8" w:space="0" w:color="000000"/>
              <w:bottom w:val="single" w:sz="8" w:space="0" w:color="000000"/>
              <w:right w:val="single" w:sz="8" w:space="0" w:color="000000"/>
            </w:tcBorders>
            <w:tcMar>
              <w:left w:w="108" w:type="dxa"/>
              <w:right w:w="108" w:type="dxa"/>
            </w:tcMar>
            <w:vAlign w:val="center"/>
          </w:tcPr>
          <w:p w14:paraId="487BEBD1"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15</w:t>
            </w:r>
          </w:p>
        </w:tc>
        <w:tc>
          <w:tcPr>
            <w:tcW w:w="2227" w:type="dxa"/>
            <w:tcBorders>
              <w:top w:val="nil"/>
              <w:left w:val="nil"/>
              <w:bottom w:val="single" w:sz="8" w:space="0" w:color="000000"/>
              <w:right w:val="single" w:sz="8" w:space="0" w:color="000000"/>
            </w:tcBorders>
            <w:tcMar>
              <w:left w:w="108" w:type="dxa"/>
              <w:right w:w="108" w:type="dxa"/>
            </w:tcMar>
            <w:vAlign w:val="center"/>
          </w:tcPr>
          <w:p w14:paraId="55127D80"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Callus produced</w:t>
            </w:r>
          </w:p>
        </w:tc>
        <w:tc>
          <w:tcPr>
            <w:tcW w:w="2228" w:type="dxa"/>
            <w:tcBorders>
              <w:top w:val="nil"/>
              <w:left w:val="nil"/>
              <w:bottom w:val="single" w:sz="8" w:space="0" w:color="000000"/>
              <w:right w:val="single" w:sz="8" w:space="0" w:color="000000"/>
            </w:tcBorders>
            <w:tcMar>
              <w:left w:w="108" w:type="dxa"/>
              <w:right w:w="108" w:type="dxa"/>
            </w:tcMar>
            <w:vAlign w:val="center"/>
          </w:tcPr>
          <w:p w14:paraId="416589C4"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Callus and some leaves produced</w:t>
            </w:r>
          </w:p>
        </w:tc>
        <w:tc>
          <w:tcPr>
            <w:tcW w:w="2210" w:type="dxa"/>
            <w:tcBorders>
              <w:top w:val="nil"/>
              <w:left w:val="nil"/>
              <w:bottom w:val="single" w:sz="8" w:space="0" w:color="000000"/>
              <w:right w:val="single" w:sz="8" w:space="0" w:color="000000"/>
            </w:tcBorders>
            <w:tcMar>
              <w:left w:w="108" w:type="dxa"/>
              <w:right w:w="108" w:type="dxa"/>
            </w:tcMar>
            <w:vAlign w:val="center"/>
          </w:tcPr>
          <w:p w14:paraId="6F62FE1D" w14:textId="77777777" w:rsidR="00AA0D79" w:rsidRDefault="00AA0D79">
            <w:pPr>
              <w:widowControl w:val="0"/>
              <w:autoSpaceDE w:val="0"/>
              <w:autoSpaceDN w:val="0"/>
              <w:adjustRightInd w:val="0"/>
              <w:spacing w:before="120" w:after="120" w:line="240" w:lineRule="auto"/>
              <w:jc w:val="center"/>
              <w:rPr>
                <w:rFonts w:ascii="Arial" w:hAnsi="Arial" w:cs="Arial"/>
              </w:rPr>
            </w:pPr>
            <w:r>
              <w:rPr>
                <w:rFonts w:ascii="Arial" w:hAnsi="Arial" w:cs="Arial"/>
              </w:rPr>
              <w:t>Callus and some leaves produced</w:t>
            </w:r>
          </w:p>
        </w:tc>
      </w:tr>
    </w:tbl>
    <w:p w14:paraId="0F978C7B"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Callus is a mass of undifferentiated plant cells. Plantlets are small plants.</w:t>
      </w:r>
    </w:p>
    <w:p w14:paraId="43F4F9E3"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the evidence from the table that cells from the stem tip are totipotent.</w:t>
      </w:r>
    </w:p>
    <w:p w14:paraId="282363F1"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BDCC4B"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535ED8"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6A5936"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ED572A" w14:textId="77777777" w:rsidR="00AA0D79" w:rsidRDefault="00AA0D7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B35CB57" w14:textId="77777777" w:rsidR="00AA0D79" w:rsidRDefault="00AA0D79">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lastRenderedPageBreak/>
        <w:t>(c)     (i)      Papaya plants reproduce sexually by means of seeds. Papaya plants grown from seeds are very variable in their yield. Explain why.</w:t>
      </w:r>
    </w:p>
    <w:p w14:paraId="79C67D5A"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EC3E11A"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B9F8294"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1614354" w14:textId="77777777" w:rsidR="00AA0D79" w:rsidRDefault="00AA0D79" w:rsidP="006B2F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B60C601" w14:textId="77777777" w:rsidR="00AA0D79" w:rsidRDefault="00AA0D7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A99020F" w14:textId="77777777" w:rsidR="00AA0D79" w:rsidRDefault="00AA0D7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Explain the advantage of growing papaya plants from tissue culture rather than from seeds.</w:t>
      </w:r>
    </w:p>
    <w:p w14:paraId="3AF0D04B"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37394BA"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41D8859" w14:textId="77777777" w:rsidR="00AA0D79" w:rsidRPr="006B2FA9" w:rsidRDefault="00AA0D79" w:rsidP="006B2FA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6B2FA9">
        <w:rPr>
          <w:rFonts w:ascii="Arial" w:hAnsi="Arial" w:cs="Arial"/>
        </w:rPr>
        <w:t xml:space="preserve">   </w:t>
      </w:r>
      <w:r>
        <w:rPr>
          <w:rFonts w:ascii="Arial" w:hAnsi="Arial" w:cs="Arial"/>
          <w:b/>
          <w:bCs/>
          <w:sz w:val="20"/>
          <w:szCs w:val="20"/>
        </w:rPr>
        <w:t>(1)</w:t>
      </w:r>
    </w:p>
    <w:p w14:paraId="3C04A3EF" w14:textId="77777777" w:rsidR="00AA0D79" w:rsidRPr="006B2FA9" w:rsidRDefault="00AA0D79"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Q3.</w:t>
      </w:r>
      <w:r w:rsidR="006B2FA9">
        <w:rPr>
          <w:rFonts w:ascii="Arial" w:hAnsi="Arial" w:cs="Arial"/>
          <w:b/>
          <w:bCs/>
          <w:color w:val="000000"/>
          <w:sz w:val="27"/>
          <w:szCs w:val="27"/>
        </w:rPr>
        <w:t xml:space="preserve"> </w:t>
      </w:r>
      <w:r>
        <w:rPr>
          <w:rFonts w:ascii="Arial" w:hAnsi="Arial" w:cs="Arial"/>
        </w:rPr>
        <w:t>Testosterone is a steroid hormone that belongs to a group of male sex hormones called androgens.</w:t>
      </w:r>
    </w:p>
    <w:p w14:paraId="1911ED5B"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Steroid hormones are hydrophobic.</w:t>
      </w:r>
    </w:p>
    <w:p w14:paraId="5FCB7441"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steroid hormones can rapidly enter a cell by passing through its cell-surface membrane.</w:t>
      </w:r>
    </w:p>
    <w:p w14:paraId="1B37C44C"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72538D"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FC2E0D"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7F7CCA"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E349F1"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98865B"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6728CD" w14:textId="77777777" w:rsidR="00AA0D79" w:rsidRDefault="00AA0D7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F950ED9"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In the cytoplasm, testosterone binds to a specific androgen receptor (AR).</w:t>
      </w:r>
    </w:p>
    <w:p w14:paraId="04677486" w14:textId="77777777" w:rsidR="00AA0D79" w:rsidRDefault="00AA0D79">
      <w:pPr>
        <w:widowControl w:val="0"/>
        <w:autoSpaceDE w:val="0"/>
        <w:autoSpaceDN w:val="0"/>
        <w:adjustRightInd w:val="0"/>
        <w:spacing w:after="0" w:line="240" w:lineRule="auto"/>
        <w:ind w:left="1134" w:right="567"/>
        <w:rPr>
          <w:rFonts w:ascii="Arial" w:hAnsi="Arial" w:cs="Arial"/>
        </w:rPr>
      </w:pPr>
      <w:r>
        <w:rPr>
          <w:rFonts w:ascii="Arial" w:hAnsi="Arial" w:cs="Arial"/>
        </w:rPr>
        <w:t>An AR is a protein.</w:t>
      </w:r>
    </w:p>
    <w:p w14:paraId="0FEDFC6B"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and explain why testosterone binds to a specific AR.</w:t>
      </w:r>
    </w:p>
    <w:p w14:paraId="37F95024"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84428D"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FA1461"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ECC280"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EE8C9A"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94E38F" w14:textId="77777777" w:rsidR="00AA0D79" w:rsidRPr="0036283B" w:rsidRDefault="00AA0D79" w:rsidP="0036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36283B">
        <w:rPr>
          <w:rFonts w:ascii="Arial" w:hAnsi="Arial" w:cs="Arial"/>
        </w:rPr>
        <w:t xml:space="preserve">  </w:t>
      </w:r>
      <w:r>
        <w:rPr>
          <w:rFonts w:ascii="Arial" w:hAnsi="Arial" w:cs="Arial"/>
          <w:b/>
          <w:bCs/>
          <w:sz w:val="20"/>
          <w:szCs w:val="20"/>
        </w:rPr>
        <w:t>(2)</w:t>
      </w:r>
    </w:p>
    <w:p w14:paraId="33EAC934"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The binding of testosterone to an AR changes the shape of the AR. This AR molecule now enters the nucleus and stimulates gene expression.</w:t>
      </w:r>
    </w:p>
    <w:p w14:paraId="5135AB14"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how the AR could stimulate gene expression.</w:t>
      </w:r>
    </w:p>
    <w:p w14:paraId="12F0FA48"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BE51BB"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5247E7"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9D4203"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FA1F71"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950E4A" w14:textId="77777777" w:rsidR="00AA0D79" w:rsidRPr="006B2FA9" w:rsidRDefault="00AA0D79" w:rsidP="006B2F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6B2FA9">
        <w:rPr>
          <w:rFonts w:ascii="Arial" w:hAnsi="Arial" w:cs="Arial"/>
        </w:rPr>
        <w:t xml:space="preserve"> </w:t>
      </w:r>
      <w:r>
        <w:rPr>
          <w:rFonts w:ascii="Arial" w:hAnsi="Arial" w:cs="Arial"/>
          <w:b/>
          <w:bCs/>
          <w:sz w:val="20"/>
          <w:szCs w:val="20"/>
        </w:rPr>
        <w:t>(2)</w:t>
      </w:r>
    </w:p>
    <w:p w14:paraId="2A51F75D" w14:textId="77777777" w:rsidR="00AA0D79" w:rsidRDefault="00AA0D79">
      <w:pPr>
        <w:widowControl w:val="0"/>
        <w:autoSpaceDE w:val="0"/>
        <w:autoSpaceDN w:val="0"/>
        <w:adjustRightInd w:val="0"/>
        <w:spacing w:before="240" w:after="0" w:line="240" w:lineRule="auto"/>
        <w:ind w:left="567" w:right="567"/>
        <w:rPr>
          <w:rFonts w:ascii="Arial" w:hAnsi="Arial" w:cs="Arial"/>
        </w:rPr>
      </w:pPr>
      <w:r>
        <w:rPr>
          <w:rFonts w:ascii="Arial" w:hAnsi="Arial" w:cs="Arial"/>
        </w:rPr>
        <w:t>The gene that codes for the AR has a variable number of CAG repeats.</w:t>
      </w:r>
    </w:p>
    <w:p w14:paraId="258B7365" w14:textId="77777777" w:rsidR="00AA0D79" w:rsidRDefault="00AA0D79">
      <w:pPr>
        <w:widowControl w:val="0"/>
        <w:autoSpaceDE w:val="0"/>
        <w:autoSpaceDN w:val="0"/>
        <w:adjustRightInd w:val="0"/>
        <w:spacing w:after="0" w:line="240" w:lineRule="auto"/>
        <w:ind w:left="567" w:right="567"/>
        <w:rPr>
          <w:rFonts w:ascii="Arial" w:hAnsi="Arial" w:cs="Arial"/>
        </w:rPr>
      </w:pPr>
      <w:r>
        <w:rPr>
          <w:rFonts w:ascii="Arial" w:hAnsi="Arial" w:cs="Arial"/>
        </w:rPr>
        <w:t>Some studies have shown an association between the number of CAG repeats and the risk of developing prostate cancer.</w:t>
      </w:r>
    </w:p>
    <w:p w14:paraId="71D69D8A" w14:textId="77777777" w:rsidR="00AA0D79" w:rsidRDefault="00AA0D79">
      <w:pPr>
        <w:widowControl w:val="0"/>
        <w:autoSpaceDE w:val="0"/>
        <w:autoSpaceDN w:val="0"/>
        <w:adjustRightInd w:val="0"/>
        <w:spacing w:before="240" w:after="0" w:line="240" w:lineRule="auto"/>
        <w:ind w:left="567" w:right="567"/>
        <w:rPr>
          <w:rFonts w:ascii="Arial" w:hAnsi="Arial" w:cs="Arial"/>
        </w:rPr>
      </w:pPr>
      <w:r>
        <w:rPr>
          <w:rFonts w:ascii="Arial" w:hAnsi="Arial" w:cs="Arial"/>
        </w:rPr>
        <w:t>The table below shows the results of a statistical test from one study.</w:t>
      </w:r>
    </w:p>
    <w:p w14:paraId="5166ABA5" w14:textId="77777777" w:rsidR="00AA0D79" w:rsidRDefault="00AA0D7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jc w:val="center"/>
        <w:tblLayout w:type="fixed"/>
        <w:tblCellMar>
          <w:left w:w="15" w:type="dxa"/>
          <w:right w:w="15" w:type="dxa"/>
        </w:tblCellMar>
        <w:tblLook w:val="0000" w:firstRow="0" w:lastRow="0" w:firstColumn="0" w:lastColumn="0" w:noHBand="0" w:noVBand="0"/>
      </w:tblPr>
      <w:tblGrid>
        <w:gridCol w:w="2448"/>
        <w:gridCol w:w="2448"/>
      </w:tblGrid>
      <w:tr w:rsidR="00AA0D79" w14:paraId="3C118AB0" w14:textId="77777777" w:rsidTr="0036283B">
        <w:tblPrEx>
          <w:tblCellMar>
            <w:top w:w="0" w:type="dxa"/>
            <w:bottom w:w="0" w:type="dxa"/>
          </w:tblCellMar>
        </w:tblPrEx>
        <w:trPr>
          <w:jc w:val="center"/>
        </w:trPr>
        <w:tc>
          <w:tcPr>
            <w:tcW w:w="2448" w:type="dxa"/>
            <w:tcBorders>
              <w:top w:val="single" w:sz="6" w:space="0" w:color="000000"/>
              <w:left w:val="single" w:sz="6" w:space="0" w:color="000000"/>
              <w:bottom w:val="single" w:sz="6" w:space="0" w:color="000000"/>
              <w:right w:val="single" w:sz="6" w:space="0" w:color="000000"/>
            </w:tcBorders>
            <w:vAlign w:val="center"/>
          </w:tcPr>
          <w:p w14:paraId="6AD3C429" w14:textId="77777777" w:rsidR="00AA0D79" w:rsidRDefault="00AA0D79">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Number of CAG repeats in the</w:t>
            </w:r>
            <w:r>
              <w:rPr>
                <w:rFonts w:ascii="Arial" w:hAnsi="Arial" w:cs="Arial"/>
              </w:rPr>
              <w:t xml:space="preserve"> </w:t>
            </w:r>
            <w:r>
              <w:rPr>
                <w:rFonts w:ascii="Arial" w:hAnsi="Arial" w:cs="Arial"/>
                <w:b/>
                <w:bCs/>
                <w:i/>
                <w:iCs/>
              </w:rPr>
              <w:t>AR</w:t>
            </w:r>
            <w:r>
              <w:rPr>
                <w:rFonts w:ascii="Arial" w:hAnsi="Arial" w:cs="Arial"/>
              </w:rPr>
              <w:t xml:space="preserve"> </w:t>
            </w:r>
            <w:r>
              <w:rPr>
                <w:rFonts w:ascii="Arial" w:hAnsi="Arial" w:cs="Arial"/>
                <w:b/>
                <w:bCs/>
              </w:rPr>
              <w:t>gene</w:t>
            </w:r>
          </w:p>
        </w:tc>
        <w:tc>
          <w:tcPr>
            <w:tcW w:w="2448" w:type="dxa"/>
            <w:tcBorders>
              <w:top w:val="single" w:sz="6" w:space="0" w:color="000000"/>
              <w:left w:val="single" w:sz="6" w:space="0" w:color="000000"/>
              <w:bottom w:val="single" w:sz="6" w:space="0" w:color="000000"/>
              <w:right w:val="single" w:sz="6" w:space="0" w:color="000000"/>
            </w:tcBorders>
            <w:vAlign w:val="center"/>
          </w:tcPr>
          <w:p w14:paraId="59195653" w14:textId="77777777" w:rsidR="00AA0D79" w:rsidRDefault="00AA0D79">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Probability (P) value</w:t>
            </w:r>
          </w:p>
        </w:tc>
      </w:tr>
      <w:tr w:rsidR="00AA0D79" w14:paraId="29D89ADD" w14:textId="77777777" w:rsidTr="0036283B">
        <w:tblPrEx>
          <w:tblCellMar>
            <w:top w:w="0" w:type="dxa"/>
            <w:bottom w:w="0" w:type="dxa"/>
          </w:tblCellMar>
        </w:tblPrEx>
        <w:trPr>
          <w:jc w:val="center"/>
        </w:trPr>
        <w:tc>
          <w:tcPr>
            <w:tcW w:w="2448" w:type="dxa"/>
            <w:tcBorders>
              <w:top w:val="single" w:sz="6" w:space="0" w:color="000000"/>
              <w:left w:val="single" w:sz="6" w:space="0" w:color="000000"/>
              <w:bottom w:val="single" w:sz="6" w:space="0" w:color="000000"/>
              <w:right w:val="single" w:sz="6" w:space="0" w:color="000000"/>
            </w:tcBorders>
            <w:vAlign w:val="center"/>
          </w:tcPr>
          <w:p w14:paraId="0802684B" w14:textId="77777777" w:rsidR="00AA0D79" w:rsidRDefault="00AA0D79">
            <w:pPr>
              <w:widowControl w:val="0"/>
              <w:autoSpaceDE w:val="0"/>
              <w:autoSpaceDN w:val="0"/>
              <w:adjustRightInd w:val="0"/>
              <w:spacing w:before="90" w:after="90" w:line="240" w:lineRule="auto"/>
              <w:ind w:left="45" w:right="45"/>
              <w:jc w:val="center"/>
              <w:rPr>
                <w:rFonts w:ascii="Arial" w:hAnsi="Arial" w:cs="Arial"/>
              </w:rPr>
            </w:pPr>
            <w:r>
              <w:rPr>
                <w:rFonts w:ascii="Cambria Math" w:hAnsi="Cambria Math" w:cs="Cambria Math"/>
              </w:rPr>
              <w:t>⩽</w:t>
            </w:r>
            <w:r>
              <w:rPr>
                <w:rFonts w:ascii="Arial" w:hAnsi="Arial" w:cs="Arial"/>
              </w:rPr>
              <w:t xml:space="preserve"> 16</w:t>
            </w:r>
          </w:p>
        </w:tc>
        <w:tc>
          <w:tcPr>
            <w:tcW w:w="2448" w:type="dxa"/>
            <w:tcBorders>
              <w:top w:val="single" w:sz="6" w:space="0" w:color="000000"/>
              <w:left w:val="single" w:sz="6" w:space="0" w:color="000000"/>
              <w:bottom w:val="single" w:sz="6" w:space="0" w:color="000000"/>
              <w:right w:val="single" w:sz="6" w:space="0" w:color="000000"/>
            </w:tcBorders>
            <w:vAlign w:val="center"/>
          </w:tcPr>
          <w:p w14:paraId="5F67BD5E" w14:textId="77777777" w:rsidR="00AA0D79" w:rsidRDefault="00AA0D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0.02</w:t>
            </w:r>
          </w:p>
        </w:tc>
      </w:tr>
      <w:tr w:rsidR="00AA0D79" w14:paraId="25E8B5C3" w14:textId="77777777" w:rsidTr="0036283B">
        <w:tblPrEx>
          <w:tblCellMar>
            <w:top w:w="0" w:type="dxa"/>
            <w:bottom w:w="0" w:type="dxa"/>
          </w:tblCellMar>
        </w:tblPrEx>
        <w:trPr>
          <w:jc w:val="center"/>
        </w:trPr>
        <w:tc>
          <w:tcPr>
            <w:tcW w:w="2448" w:type="dxa"/>
            <w:tcBorders>
              <w:top w:val="single" w:sz="6" w:space="0" w:color="000000"/>
              <w:left w:val="single" w:sz="6" w:space="0" w:color="000000"/>
              <w:bottom w:val="single" w:sz="6" w:space="0" w:color="000000"/>
              <w:right w:val="single" w:sz="6" w:space="0" w:color="000000"/>
            </w:tcBorders>
            <w:vAlign w:val="center"/>
          </w:tcPr>
          <w:p w14:paraId="75B9D059" w14:textId="77777777" w:rsidR="00AA0D79" w:rsidRDefault="00AA0D79">
            <w:pPr>
              <w:widowControl w:val="0"/>
              <w:autoSpaceDE w:val="0"/>
              <w:autoSpaceDN w:val="0"/>
              <w:adjustRightInd w:val="0"/>
              <w:spacing w:before="90" w:after="90" w:line="240" w:lineRule="auto"/>
              <w:ind w:left="45" w:right="45"/>
              <w:jc w:val="center"/>
              <w:rPr>
                <w:rFonts w:ascii="Arial" w:hAnsi="Arial" w:cs="Arial"/>
              </w:rPr>
            </w:pPr>
            <w:r>
              <w:rPr>
                <w:rFonts w:ascii="Cambria Math" w:hAnsi="Cambria Math" w:cs="Cambria Math"/>
              </w:rPr>
              <w:t>⩽</w:t>
            </w:r>
            <w:r>
              <w:rPr>
                <w:rFonts w:ascii="Arial" w:hAnsi="Arial" w:cs="Arial"/>
              </w:rPr>
              <w:t xml:space="preserve"> 17</w:t>
            </w:r>
          </w:p>
        </w:tc>
        <w:tc>
          <w:tcPr>
            <w:tcW w:w="2448" w:type="dxa"/>
            <w:tcBorders>
              <w:top w:val="single" w:sz="6" w:space="0" w:color="000000"/>
              <w:left w:val="single" w:sz="6" w:space="0" w:color="000000"/>
              <w:bottom w:val="single" w:sz="6" w:space="0" w:color="000000"/>
              <w:right w:val="single" w:sz="6" w:space="0" w:color="000000"/>
            </w:tcBorders>
            <w:vAlign w:val="center"/>
          </w:tcPr>
          <w:p w14:paraId="747ACBC8" w14:textId="77777777" w:rsidR="00AA0D79" w:rsidRDefault="00AA0D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0.30</w:t>
            </w:r>
          </w:p>
        </w:tc>
      </w:tr>
      <w:tr w:rsidR="00AA0D79" w14:paraId="4F9E5742" w14:textId="77777777" w:rsidTr="0036283B">
        <w:tblPrEx>
          <w:tblCellMar>
            <w:top w:w="0" w:type="dxa"/>
            <w:bottom w:w="0" w:type="dxa"/>
          </w:tblCellMar>
        </w:tblPrEx>
        <w:trPr>
          <w:jc w:val="center"/>
        </w:trPr>
        <w:tc>
          <w:tcPr>
            <w:tcW w:w="2448" w:type="dxa"/>
            <w:tcBorders>
              <w:top w:val="single" w:sz="6" w:space="0" w:color="000000"/>
              <w:left w:val="single" w:sz="6" w:space="0" w:color="000000"/>
              <w:bottom w:val="single" w:sz="6" w:space="0" w:color="000000"/>
              <w:right w:val="single" w:sz="6" w:space="0" w:color="000000"/>
            </w:tcBorders>
            <w:vAlign w:val="center"/>
          </w:tcPr>
          <w:p w14:paraId="6B91C84A" w14:textId="77777777" w:rsidR="00AA0D79" w:rsidRDefault="00AA0D79">
            <w:pPr>
              <w:widowControl w:val="0"/>
              <w:autoSpaceDE w:val="0"/>
              <w:autoSpaceDN w:val="0"/>
              <w:adjustRightInd w:val="0"/>
              <w:spacing w:before="90" w:after="90" w:line="240" w:lineRule="auto"/>
              <w:ind w:left="45" w:right="45"/>
              <w:jc w:val="center"/>
              <w:rPr>
                <w:rFonts w:ascii="Arial" w:hAnsi="Arial" w:cs="Arial"/>
              </w:rPr>
            </w:pPr>
            <w:r>
              <w:rPr>
                <w:rFonts w:ascii="Cambria Math" w:hAnsi="Cambria Math" w:cs="Cambria Math"/>
              </w:rPr>
              <w:t>⩽</w:t>
            </w:r>
            <w:r>
              <w:rPr>
                <w:rFonts w:ascii="Arial" w:hAnsi="Arial" w:cs="Arial"/>
              </w:rPr>
              <w:t xml:space="preserve"> 18</w:t>
            </w:r>
          </w:p>
        </w:tc>
        <w:tc>
          <w:tcPr>
            <w:tcW w:w="2448" w:type="dxa"/>
            <w:tcBorders>
              <w:top w:val="single" w:sz="6" w:space="0" w:color="000000"/>
              <w:left w:val="single" w:sz="6" w:space="0" w:color="000000"/>
              <w:bottom w:val="single" w:sz="6" w:space="0" w:color="000000"/>
              <w:right w:val="single" w:sz="6" w:space="0" w:color="000000"/>
            </w:tcBorders>
            <w:vAlign w:val="center"/>
          </w:tcPr>
          <w:p w14:paraId="52BD9F8A" w14:textId="77777777" w:rsidR="00AA0D79" w:rsidRDefault="00AA0D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0.07</w:t>
            </w:r>
          </w:p>
        </w:tc>
      </w:tr>
      <w:tr w:rsidR="00AA0D79" w14:paraId="22F59BB8" w14:textId="77777777" w:rsidTr="0036283B">
        <w:tblPrEx>
          <w:tblCellMar>
            <w:top w:w="0" w:type="dxa"/>
            <w:bottom w:w="0" w:type="dxa"/>
          </w:tblCellMar>
        </w:tblPrEx>
        <w:trPr>
          <w:jc w:val="center"/>
        </w:trPr>
        <w:tc>
          <w:tcPr>
            <w:tcW w:w="2448" w:type="dxa"/>
            <w:tcBorders>
              <w:top w:val="single" w:sz="6" w:space="0" w:color="000000"/>
              <w:left w:val="single" w:sz="6" w:space="0" w:color="000000"/>
              <w:bottom w:val="single" w:sz="6" w:space="0" w:color="000000"/>
              <w:right w:val="single" w:sz="6" w:space="0" w:color="000000"/>
            </w:tcBorders>
            <w:vAlign w:val="center"/>
          </w:tcPr>
          <w:p w14:paraId="08866EEC" w14:textId="77777777" w:rsidR="00AA0D79" w:rsidRDefault="00AA0D79">
            <w:pPr>
              <w:widowControl w:val="0"/>
              <w:autoSpaceDE w:val="0"/>
              <w:autoSpaceDN w:val="0"/>
              <w:adjustRightInd w:val="0"/>
              <w:spacing w:before="90" w:after="90" w:line="240" w:lineRule="auto"/>
              <w:ind w:left="45" w:right="45"/>
              <w:jc w:val="center"/>
              <w:rPr>
                <w:rFonts w:ascii="Arial" w:hAnsi="Arial" w:cs="Arial"/>
              </w:rPr>
            </w:pPr>
            <w:r>
              <w:rPr>
                <w:rFonts w:ascii="Cambria Math" w:hAnsi="Cambria Math" w:cs="Cambria Math"/>
              </w:rPr>
              <w:t>⩽</w:t>
            </w:r>
            <w:r>
              <w:rPr>
                <w:rFonts w:ascii="Arial" w:hAnsi="Arial" w:cs="Arial"/>
              </w:rPr>
              <w:t xml:space="preserve"> 19</w:t>
            </w:r>
          </w:p>
        </w:tc>
        <w:tc>
          <w:tcPr>
            <w:tcW w:w="2448" w:type="dxa"/>
            <w:tcBorders>
              <w:top w:val="single" w:sz="6" w:space="0" w:color="000000"/>
              <w:left w:val="single" w:sz="6" w:space="0" w:color="000000"/>
              <w:bottom w:val="single" w:sz="6" w:space="0" w:color="000000"/>
              <w:right w:val="single" w:sz="6" w:space="0" w:color="000000"/>
            </w:tcBorders>
            <w:vAlign w:val="center"/>
          </w:tcPr>
          <w:p w14:paraId="285A1573" w14:textId="77777777" w:rsidR="00AA0D79" w:rsidRDefault="00AA0D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0.09</w:t>
            </w:r>
          </w:p>
        </w:tc>
      </w:tr>
      <w:tr w:rsidR="00AA0D79" w14:paraId="47DAC3E5" w14:textId="77777777" w:rsidTr="0036283B">
        <w:tblPrEx>
          <w:tblCellMar>
            <w:top w:w="0" w:type="dxa"/>
            <w:bottom w:w="0" w:type="dxa"/>
          </w:tblCellMar>
        </w:tblPrEx>
        <w:trPr>
          <w:jc w:val="center"/>
        </w:trPr>
        <w:tc>
          <w:tcPr>
            <w:tcW w:w="2448" w:type="dxa"/>
            <w:tcBorders>
              <w:top w:val="single" w:sz="6" w:space="0" w:color="000000"/>
              <w:left w:val="single" w:sz="6" w:space="0" w:color="000000"/>
              <w:bottom w:val="single" w:sz="6" w:space="0" w:color="000000"/>
              <w:right w:val="single" w:sz="6" w:space="0" w:color="000000"/>
            </w:tcBorders>
            <w:vAlign w:val="center"/>
          </w:tcPr>
          <w:p w14:paraId="4363AB80" w14:textId="77777777" w:rsidR="00AA0D79" w:rsidRDefault="00AA0D79">
            <w:pPr>
              <w:widowControl w:val="0"/>
              <w:autoSpaceDE w:val="0"/>
              <w:autoSpaceDN w:val="0"/>
              <w:adjustRightInd w:val="0"/>
              <w:spacing w:before="90" w:after="90" w:line="240" w:lineRule="auto"/>
              <w:ind w:left="45" w:right="45"/>
              <w:jc w:val="center"/>
              <w:rPr>
                <w:rFonts w:ascii="Arial" w:hAnsi="Arial" w:cs="Arial"/>
              </w:rPr>
            </w:pPr>
            <w:r>
              <w:rPr>
                <w:rFonts w:ascii="Cambria Math" w:hAnsi="Cambria Math" w:cs="Cambria Math"/>
              </w:rPr>
              <w:t>⩾</w:t>
            </w:r>
            <w:r>
              <w:rPr>
                <w:rFonts w:ascii="Arial" w:hAnsi="Arial" w:cs="Arial"/>
              </w:rPr>
              <w:t xml:space="preserve"> 20</w:t>
            </w:r>
          </w:p>
        </w:tc>
        <w:tc>
          <w:tcPr>
            <w:tcW w:w="2448" w:type="dxa"/>
            <w:tcBorders>
              <w:top w:val="single" w:sz="6" w:space="0" w:color="000000"/>
              <w:left w:val="single" w:sz="6" w:space="0" w:color="000000"/>
              <w:bottom w:val="single" w:sz="6" w:space="0" w:color="000000"/>
              <w:right w:val="single" w:sz="6" w:space="0" w:color="000000"/>
            </w:tcBorders>
            <w:vAlign w:val="center"/>
          </w:tcPr>
          <w:p w14:paraId="61B7162E" w14:textId="77777777" w:rsidR="00AA0D79" w:rsidRDefault="00AA0D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0.06</w:t>
            </w:r>
          </w:p>
        </w:tc>
      </w:tr>
    </w:tbl>
    <w:p w14:paraId="2E99F239"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What can you conclude from the data in the table above?</w:t>
      </w:r>
    </w:p>
    <w:p w14:paraId="62EE39DD"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2EC639"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776AF9"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4FAC5F"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949127"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915A6F"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47494A"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D3641D"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B48A45"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295BD2" w14:textId="77777777" w:rsidR="00AA0D79" w:rsidRDefault="00AA0D7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8B47091" w14:textId="77777777" w:rsidR="00AA0D79" w:rsidRPr="006B2FA9" w:rsidRDefault="00AA0D79"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36283B">
        <w:rPr>
          <w:rFonts w:ascii="Arial" w:hAnsi="Arial" w:cs="Arial"/>
          <w:b/>
          <w:bCs/>
          <w:color w:val="000000"/>
          <w:sz w:val="27"/>
          <w:szCs w:val="27"/>
        </w:rPr>
        <w:t>4</w:t>
      </w:r>
      <w:r>
        <w:rPr>
          <w:rFonts w:ascii="Arial" w:hAnsi="Arial" w:cs="Arial"/>
          <w:b/>
          <w:bCs/>
          <w:color w:val="000000"/>
          <w:sz w:val="27"/>
          <w:szCs w:val="27"/>
        </w:rPr>
        <w:t>.</w:t>
      </w:r>
      <w:r w:rsidR="006B2FA9">
        <w:rPr>
          <w:rFonts w:ascii="Arial" w:hAnsi="Arial" w:cs="Arial"/>
          <w:b/>
          <w:bCs/>
          <w:color w:val="000000"/>
          <w:sz w:val="27"/>
          <w:szCs w:val="27"/>
        </w:rPr>
        <w:t xml:space="preserve"> </w:t>
      </w:r>
      <w:r>
        <w:rPr>
          <w:rFonts w:ascii="Arial" w:hAnsi="Arial" w:cs="Arial"/>
        </w:rPr>
        <w:t>Aquaporins are channel proteins that allow the diffusion of water across membranes. One type of aquaporin, called PIP1, can also transport carbon dioxide molecules across membranes.</w:t>
      </w:r>
    </w:p>
    <w:p w14:paraId="5D4F2604" w14:textId="77777777" w:rsidR="00AA0D79" w:rsidRDefault="00AA0D79" w:rsidP="0036283B">
      <w:pPr>
        <w:widowControl w:val="0"/>
        <w:numPr>
          <w:ilvl w:val="0"/>
          <w:numId w:val="1"/>
        </w:numPr>
        <w:autoSpaceDE w:val="0"/>
        <w:autoSpaceDN w:val="0"/>
        <w:adjustRightInd w:val="0"/>
        <w:spacing w:before="240" w:after="0" w:line="240" w:lineRule="auto"/>
        <w:ind w:left="1134" w:right="567"/>
        <w:rPr>
          <w:rFonts w:ascii="Arial" w:hAnsi="Arial" w:cs="Arial"/>
        </w:rPr>
      </w:pPr>
      <w:r>
        <w:rPr>
          <w:rFonts w:ascii="Arial" w:hAnsi="Arial" w:cs="Arial"/>
        </w:rPr>
        <w:t>The scientists first produced transgenic poplar trees. These trees all had a length of foreign DNA inserted into them. This DNA led to the production of single-stranded RNA that specifically inhibited expression of the gene for PIP1.</w:t>
      </w:r>
    </w:p>
    <w:p w14:paraId="40726243"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The scientists then measured the difference in the amount of PIP1 in leaves of transgenic poplars and in leaves of wild type poplars without the foreign DNA. The amount of PIP1 in the transgenic poplars was approximately 15% of that in the wild type poplars.</w:t>
      </w:r>
    </w:p>
    <w:p w14:paraId="7F307303"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Using this information, what can you conclude about the effect of the foreign DNA in the transgenic poplar trees?</w:t>
      </w:r>
    </w:p>
    <w:p w14:paraId="00B92FA8"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65F35B"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35D428"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18EFA1"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ADB8F3"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9D045C"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BD4591"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22A72B" w14:textId="77777777" w:rsidR="00AA0D79" w:rsidRPr="006B2FA9" w:rsidRDefault="00AA0D79" w:rsidP="006B2FA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b/>
          <w:bCs/>
          <w:sz w:val="20"/>
          <w:szCs w:val="20"/>
        </w:rPr>
        <w:t>(3)</w:t>
      </w:r>
    </w:p>
    <w:p w14:paraId="1173C7C8"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r w:rsidR="0036283B">
        <w:rPr>
          <w:rFonts w:ascii="Arial" w:hAnsi="Arial" w:cs="Arial"/>
        </w:rPr>
        <w:t>b</w:t>
      </w:r>
      <w:r>
        <w:rPr>
          <w:rFonts w:ascii="Arial" w:hAnsi="Arial" w:cs="Arial"/>
        </w:rPr>
        <w:t>)      The transgenic poplars still produced some PIP1.</w:t>
      </w:r>
    </w:p>
    <w:p w14:paraId="21C40F1C"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why.</w:t>
      </w:r>
    </w:p>
    <w:p w14:paraId="79847BA3"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880D94"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7DE03B"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0FD567" w14:textId="77777777" w:rsidR="00AA0D79" w:rsidRDefault="00AA0D7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27AC370" w14:textId="77777777" w:rsidR="0036283B" w:rsidRDefault="0036283B"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AA857D0" w14:textId="77777777" w:rsidR="0036283B" w:rsidRDefault="0036283B"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773D7BE9" w14:textId="77777777" w:rsidR="0036283B" w:rsidRDefault="0036283B"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CC78013" w14:textId="77777777" w:rsidR="0036283B" w:rsidRDefault="0036283B"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C891811" w14:textId="77777777" w:rsidR="0036283B" w:rsidRDefault="0036283B"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126D22BD" w14:textId="77777777" w:rsidR="00AA0D79" w:rsidRPr="006B2FA9" w:rsidRDefault="00AA0D79"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36283B">
        <w:rPr>
          <w:rFonts w:ascii="Arial" w:hAnsi="Arial" w:cs="Arial"/>
          <w:b/>
          <w:bCs/>
          <w:color w:val="000000"/>
          <w:sz w:val="27"/>
          <w:szCs w:val="27"/>
        </w:rPr>
        <w:t>5</w:t>
      </w:r>
      <w:r>
        <w:rPr>
          <w:rFonts w:ascii="Arial" w:hAnsi="Arial" w:cs="Arial"/>
          <w:b/>
          <w:bCs/>
          <w:color w:val="000000"/>
          <w:sz w:val="27"/>
          <w:szCs w:val="27"/>
        </w:rPr>
        <w:t>.</w:t>
      </w:r>
      <w:r w:rsidR="006B2FA9">
        <w:rPr>
          <w:rFonts w:ascii="Arial" w:hAnsi="Arial" w:cs="Arial"/>
          <w:b/>
          <w:bCs/>
          <w:color w:val="000000"/>
          <w:sz w:val="27"/>
          <w:szCs w:val="27"/>
        </w:rPr>
        <w:t xml:space="preserve"> </w:t>
      </w:r>
      <w:r>
        <w:rPr>
          <w:rFonts w:ascii="Arial" w:hAnsi="Arial" w:cs="Arial"/>
        </w:rPr>
        <w:t>Li-Fraumeni syndrome is a rare inherited condition. It makes someone much more likely to develop cancer at an early age. The diagram shows part of the family history of a family affected by Li-Fraumeni syndrome. Li-Fraumeni syndrome is caused by the dominant allele of a gene. The gene is not sex-linked.</w:t>
      </w:r>
    </w:p>
    <w:p w14:paraId="7FDA68F9" w14:textId="77777777" w:rsidR="00AA0D79" w:rsidRDefault="0036283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pict w14:anchorId="758E89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1.8pt;height:231pt">
            <v:imagedata r:id="rId7" o:title=""/>
          </v:shape>
        </w:pict>
      </w:r>
      <w:r w:rsidR="00AA0D79">
        <w:rPr>
          <w:rFonts w:ascii="Arial" w:hAnsi="Arial" w:cs="Arial"/>
        </w:rPr>
        <w:t> </w:t>
      </w:r>
    </w:p>
    <w:p w14:paraId="78FA2120" w14:textId="77777777" w:rsidR="00AA0D79" w:rsidRDefault="00AA0D79">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grandparents, </w:t>
      </w:r>
      <w:r>
        <w:rPr>
          <w:rFonts w:ascii="Arial" w:hAnsi="Arial" w:cs="Arial"/>
          <w:b/>
          <w:bCs/>
        </w:rPr>
        <w:t xml:space="preserve">A </w:t>
      </w:r>
      <w:r>
        <w:rPr>
          <w:rFonts w:ascii="Arial" w:hAnsi="Arial" w:cs="Arial"/>
        </w:rPr>
        <w:t xml:space="preserve">and </w:t>
      </w:r>
      <w:r>
        <w:rPr>
          <w:rFonts w:ascii="Arial" w:hAnsi="Arial" w:cs="Arial"/>
          <w:b/>
          <w:bCs/>
        </w:rPr>
        <w:t>B</w:t>
      </w:r>
      <w:r>
        <w:rPr>
          <w:rFonts w:ascii="Arial" w:hAnsi="Arial" w:cs="Arial"/>
        </w:rPr>
        <w:t xml:space="preserve">, had two children, girl </w:t>
      </w:r>
      <w:r>
        <w:rPr>
          <w:rFonts w:ascii="Arial" w:hAnsi="Arial" w:cs="Arial"/>
          <w:b/>
          <w:bCs/>
        </w:rPr>
        <w:t xml:space="preserve">C </w:t>
      </w:r>
      <w:r>
        <w:rPr>
          <w:rFonts w:ascii="Arial" w:hAnsi="Arial" w:cs="Arial"/>
        </w:rPr>
        <w:t xml:space="preserve">and boy </w:t>
      </w:r>
      <w:r>
        <w:rPr>
          <w:rFonts w:ascii="Arial" w:hAnsi="Arial" w:cs="Arial"/>
          <w:b/>
          <w:bCs/>
        </w:rPr>
        <w:t>D</w:t>
      </w:r>
      <w:r>
        <w:rPr>
          <w:rFonts w:ascii="Arial" w:hAnsi="Arial" w:cs="Arial"/>
        </w:rPr>
        <w:t>. Explain how the phenotypes of these children provide evidence that Li-Fraumeni syndrome is</w:t>
      </w:r>
    </w:p>
    <w:p w14:paraId="2ED5AE74"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caused by a dominant allele</w:t>
      </w:r>
    </w:p>
    <w:p w14:paraId="56926C49"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5105AF"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53EA43" w14:textId="77777777" w:rsidR="00AA0D79" w:rsidRPr="0036283B" w:rsidRDefault="00AA0D79" w:rsidP="0036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36283B">
        <w:rPr>
          <w:rFonts w:ascii="Arial" w:hAnsi="Arial" w:cs="Arial"/>
        </w:rPr>
        <w:t xml:space="preserve">  </w:t>
      </w:r>
      <w:r>
        <w:rPr>
          <w:rFonts w:ascii="Arial" w:hAnsi="Arial" w:cs="Arial"/>
          <w:b/>
          <w:bCs/>
          <w:sz w:val="20"/>
          <w:szCs w:val="20"/>
        </w:rPr>
        <w:t>(2)</w:t>
      </w:r>
    </w:p>
    <w:p w14:paraId="2B4EBE18"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w:t>
      </w:r>
      <w:r>
        <w:rPr>
          <w:rFonts w:ascii="Arial" w:hAnsi="Arial" w:cs="Arial"/>
          <w:b/>
          <w:bCs/>
        </w:rPr>
        <w:t xml:space="preserve">not </w:t>
      </w:r>
      <w:r>
        <w:rPr>
          <w:rFonts w:ascii="Arial" w:hAnsi="Arial" w:cs="Arial"/>
        </w:rPr>
        <w:t>sex-linked.</w:t>
      </w:r>
    </w:p>
    <w:p w14:paraId="06DF6993"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E1F17C"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FA0E05" w14:textId="77777777" w:rsidR="00AA0D79" w:rsidRPr="0036283B" w:rsidRDefault="00AA0D79" w:rsidP="0036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36283B">
        <w:rPr>
          <w:rFonts w:ascii="Arial" w:hAnsi="Arial" w:cs="Arial"/>
        </w:rPr>
        <w:t xml:space="preserve"> </w:t>
      </w:r>
      <w:r>
        <w:rPr>
          <w:rFonts w:ascii="Arial" w:hAnsi="Arial" w:cs="Arial"/>
          <w:b/>
          <w:bCs/>
          <w:sz w:val="20"/>
          <w:szCs w:val="20"/>
        </w:rPr>
        <w:t>(2)</w:t>
      </w:r>
    </w:p>
    <w:p w14:paraId="0CF8A5D8"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Li-Fraumeni syndrome is caused by a mutation affecting a tumour suppressor gene called TP53. This gene codes for a protein that initiates the death of cells where damaged DNA cannot be repaired. The mutated TP53 gene leads to the production of a non-functional protein. Suggest how the non-functional protein may lead to cancer.</w:t>
      </w:r>
    </w:p>
    <w:p w14:paraId="39FF02A5"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15501B"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AEDF51"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BA1983"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71B6CC"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7E5B6B" w14:textId="77777777" w:rsidR="00AA0D79" w:rsidRPr="0036283B" w:rsidRDefault="00AA0D79" w:rsidP="0036283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36283B">
        <w:rPr>
          <w:rFonts w:ascii="Arial" w:hAnsi="Arial" w:cs="Arial"/>
        </w:rPr>
        <w:t xml:space="preserve">  </w:t>
      </w:r>
      <w:r>
        <w:rPr>
          <w:rFonts w:ascii="Arial" w:hAnsi="Arial" w:cs="Arial"/>
          <w:b/>
          <w:bCs/>
          <w:sz w:val="20"/>
          <w:szCs w:val="20"/>
        </w:rPr>
        <w:t>(3)</w:t>
      </w:r>
    </w:p>
    <w:p w14:paraId="7B85F142" w14:textId="77777777" w:rsidR="00AA0D79" w:rsidRDefault="00AA0D7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36283B">
        <w:rPr>
          <w:rFonts w:ascii="Arial" w:hAnsi="Arial" w:cs="Arial"/>
          <w:b/>
          <w:bCs/>
          <w:color w:val="000000"/>
          <w:sz w:val="27"/>
          <w:szCs w:val="27"/>
        </w:rPr>
        <w:t>6</w:t>
      </w:r>
      <w:r>
        <w:rPr>
          <w:rFonts w:ascii="Arial" w:hAnsi="Arial" w:cs="Arial"/>
          <w:b/>
          <w:bCs/>
          <w:color w:val="000000"/>
          <w:sz w:val="27"/>
          <w:szCs w:val="27"/>
        </w:rPr>
        <w:t>.</w:t>
      </w:r>
    </w:p>
    <w:p w14:paraId="5C857111" w14:textId="77777777" w:rsidR="00AA0D79" w:rsidRDefault="00AA0D79">
      <w:pPr>
        <w:widowControl w:val="0"/>
        <w:autoSpaceDE w:val="0"/>
        <w:autoSpaceDN w:val="0"/>
        <w:adjustRightInd w:val="0"/>
        <w:spacing w:after="0" w:line="240" w:lineRule="auto"/>
        <w:ind w:left="1701" w:right="567" w:hanging="1134"/>
        <w:rPr>
          <w:rFonts w:ascii="Arial" w:hAnsi="Arial" w:cs="Arial"/>
        </w:rPr>
      </w:pPr>
      <w:r>
        <w:rPr>
          <w:rFonts w:ascii="Arial" w:hAnsi="Arial" w:cs="Arial"/>
        </w:rPr>
        <w:t>(a)     (i)      A mutation of a tumour suppressor gene can result in the formation of a tumour.</w:t>
      </w:r>
    </w:p>
    <w:p w14:paraId="064F739E"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Explain how.</w:t>
      </w:r>
    </w:p>
    <w:p w14:paraId="31133117"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84F1E24"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E441C4E"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5FE8BEB"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14A76F7" w14:textId="77777777" w:rsidR="00AA0D79" w:rsidRDefault="00AA0D7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0C284E0" w14:textId="77777777" w:rsidR="00AA0D79" w:rsidRDefault="00AA0D7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Not all mutations result in a change to the amino acid sequence of the encoded polypeptide.</w:t>
      </w:r>
    </w:p>
    <w:p w14:paraId="6170401E"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Explain why.</w:t>
      </w:r>
    </w:p>
    <w:p w14:paraId="2A58B3D3"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7F77D9F"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C9AF9AD" w14:textId="77777777" w:rsidR="00AA0D79" w:rsidRDefault="00AA0D7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069558A" w14:textId="77777777" w:rsidR="00AA0D79" w:rsidRDefault="00AA0D7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40353FE"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Some cancer cells have a receptor protein in their cell-surface membrane that binds to a hormone called </w:t>
      </w:r>
      <w:r>
        <w:rPr>
          <w:rFonts w:ascii="Arial" w:hAnsi="Arial" w:cs="Arial"/>
          <w:b/>
          <w:bCs/>
        </w:rPr>
        <w:t>growth factor</w:t>
      </w:r>
      <w:r>
        <w:rPr>
          <w:rFonts w:ascii="Arial" w:hAnsi="Arial" w:cs="Arial"/>
        </w:rPr>
        <w:t>. This stimulates the cancer cells to divide.</w:t>
      </w:r>
    </w:p>
    <w:p w14:paraId="2EBA0E57"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Scientists have produced a monoclonal antibody that stops this stimulation.</w:t>
      </w:r>
    </w:p>
    <w:p w14:paraId="32C4FBFE"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Use your knowledge of monoclonal antibodies to suggest how this antibody stops the growth of a tumour.</w:t>
      </w:r>
    </w:p>
    <w:p w14:paraId="4A0417B0"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0DA1AB"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FFD1B9"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1D6D50"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F77E5D"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B789A1"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27C925" w14:textId="77777777" w:rsidR="00AA0D79" w:rsidRDefault="00AA0D7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15C5A65" w14:textId="77777777" w:rsidR="0036283B" w:rsidRDefault="0036283B"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F04B93E" w14:textId="77777777" w:rsidR="0036283B" w:rsidRDefault="0036283B"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3437695" w14:textId="77777777" w:rsidR="0036283B" w:rsidRDefault="0036283B"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E292405" w14:textId="77777777" w:rsidR="00AA0D79" w:rsidRPr="006B2FA9" w:rsidRDefault="00AA0D79" w:rsidP="006B2FA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36283B">
        <w:rPr>
          <w:rFonts w:ascii="Arial" w:hAnsi="Arial" w:cs="Arial"/>
          <w:b/>
          <w:bCs/>
          <w:color w:val="000000"/>
          <w:sz w:val="27"/>
          <w:szCs w:val="27"/>
        </w:rPr>
        <w:t>7</w:t>
      </w:r>
      <w:r>
        <w:rPr>
          <w:rFonts w:ascii="Arial" w:hAnsi="Arial" w:cs="Arial"/>
          <w:b/>
          <w:bCs/>
          <w:color w:val="000000"/>
          <w:sz w:val="27"/>
          <w:szCs w:val="27"/>
        </w:rPr>
        <w:t>.</w:t>
      </w:r>
      <w:r w:rsidR="006B2FA9">
        <w:rPr>
          <w:rFonts w:ascii="Arial" w:hAnsi="Arial" w:cs="Arial"/>
          <w:b/>
          <w:bCs/>
          <w:color w:val="000000"/>
          <w:sz w:val="27"/>
          <w:szCs w:val="27"/>
        </w:rPr>
        <w:t xml:space="preserve"> </w:t>
      </w:r>
      <w:r>
        <w:rPr>
          <w:rFonts w:ascii="Arial" w:hAnsi="Arial" w:cs="Arial"/>
        </w:rPr>
        <w:t>Increased methylation of the promoter region of a tumour suppressor gene causes one type of human throat cancer.</w:t>
      </w:r>
    </w:p>
    <w:p w14:paraId="6B57B140" w14:textId="77777777" w:rsidR="00AA0D79" w:rsidRDefault="00AA0D79">
      <w:pPr>
        <w:widowControl w:val="0"/>
        <w:autoSpaceDE w:val="0"/>
        <w:autoSpaceDN w:val="0"/>
        <w:adjustRightInd w:val="0"/>
        <w:spacing w:before="240" w:after="0" w:line="240" w:lineRule="auto"/>
        <w:ind w:left="567" w:right="567"/>
        <w:rPr>
          <w:rFonts w:ascii="Arial" w:hAnsi="Arial" w:cs="Arial"/>
        </w:rPr>
      </w:pPr>
      <w:r>
        <w:rPr>
          <w:rFonts w:ascii="Arial" w:hAnsi="Arial" w:cs="Arial"/>
        </w:rPr>
        <w:t>In this type of throat cancer, cancer cells are able to pass on the increased methylation to daughter cells. The methylation is caused by an enzyme called DNMT.</w:t>
      </w:r>
    </w:p>
    <w:p w14:paraId="1E37D17F" w14:textId="77777777" w:rsidR="00AA0D79" w:rsidRDefault="00AA0D79">
      <w:pPr>
        <w:widowControl w:val="0"/>
        <w:autoSpaceDE w:val="0"/>
        <w:autoSpaceDN w:val="0"/>
        <w:adjustRightInd w:val="0"/>
        <w:spacing w:before="240" w:after="0" w:line="240" w:lineRule="auto"/>
        <w:ind w:left="567" w:right="567"/>
        <w:rPr>
          <w:rFonts w:ascii="Arial" w:hAnsi="Arial" w:cs="Arial"/>
        </w:rPr>
      </w:pPr>
      <w:r>
        <w:rPr>
          <w:rFonts w:ascii="Arial" w:hAnsi="Arial" w:cs="Arial"/>
        </w:rPr>
        <w:t>Scientists have found that a chemical in green tea, called EGCG, is a competitive inhibitor of DNMT. EGCG enables daughter cells to produce messenger RNA (mRNA) from the tumour suppressor gene.</w:t>
      </w:r>
    </w:p>
    <w:p w14:paraId="5E6CC8AE" w14:textId="77777777" w:rsidR="00AA0D79" w:rsidRDefault="00AA0D7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Suggest how EGCG allows the production of mRNA in daughter cells.</w:t>
      </w:r>
    </w:p>
    <w:p w14:paraId="0E5BA95C"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7CE258"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044573"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E933CE"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753663"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B4318F"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DDFA45"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D6C8D6" w14:textId="77777777" w:rsidR="00AA0D79" w:rsidRDefault="00AA0D7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E3942E" w14:textId="77777777" w:rsidR="00AA0D79" w:rsidRDefault="00AA0D79" w:rsidP="0036283B">
      <w:pPr>
        <w:widowControl w:val="0"/>
        <w:autoSpaceDE w:val="0"/>
        <w:autoSpaceDN w:val="0"/>
        <w:adjustRightInd w:val="0"/>
        <w:spacing w:before="60" w:after="0" w:line="240" w:lineRule="auto"/>
        <w:jc w:val="right"/>
        <w:rPr>
          <w:rFonts w:ascii="Arial" w:hAnsi="Arial" w:cs="Arial"/>
          <w:b/>
          <w:bCs/>
          <w:sz w:val="20"/>
          <w:szCs w:val="20"/>
        </w:rPr>
        <w:sectPr w:rsidR="00AA0D79" w:rsidSect="006B2FA9">
          <w:footerReference w:type="default" r:id="rId8"/>
          <w:pgSz w:w="11907" w:h="16839"/>
          <w:pgMar w:top="720" w:right="720" w:bottom="720" w:left="720" w:header="720" w:footer="850" w:gutter="0"/>
          <w:cols w:space="720"/>
          <w:noEndnote/>
          <w:docGrid w:linePitch="299"/>
        </w:sectPr>
      </w:pPr>
      <w:r>
        <w:rPr>
          <w:rFonts w:ascii="Arial" w:hAnsi="Arial" w:cs="Arial"/>
          <w:b/>
          <w:bCs/>
          <w:sz w:val="20"/>
          <w:szCs w:val="20"/>
        </w:rPr>
        <w:t>(3)</w:t>
      </w:r>
    </w:p>
    <w:p w14:paraId="65B8973A" w14:textId="77777777" w:rsidR="00AA0D79" w:rsidRDefault="00AA0D79" w:rsidP="0036283B">
      <w:pPr>
        <w:widowControl w:val="0"/>
        <w:autoSpaceDE w:val="0"/>
        <w:autoSpaceDN w:val="0"/>
        <w:adjustRightInd w:val="0"/>
        <w:spacing w:before="100" w:after="100" w:line="240" w:lineRule="auto"/>
        <w:rPr>
          <w:rFonts w:ascii="Arial" w:hAnsi="Arial" w:cs="Arial"/>
          <w:b/>
          <w:bCs/>
          <w:sz w:val="20"/>
          <w:szCs w:val="20"/>
        </w:rPr>
      </w:pPr>
    </w:p>
    <w:sectPr w:rsidR="00AA0D79">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FCFDA" w14:textId="77777777" w:rsidR="00E01367" w:rsidRDefault="00E01367">
      <w:pPr>
        <w:spacing w:after="0" w:line="240" w:lineRule="auto"/>
      </w:pPr>
      <w:r>
        <w:separator/>
      </w:r>
    </w:p>
  </w:endnote>
  <w:endnote w:type="continuationSeparator" w:id="0">
    <w:p w14:paraId="31E5B869" w14:textId="77777777" w:rsidR="00E01367" w:rsidRDefault="00E013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74604" w14:textId="77777777" w:rsidR="00AA0D79" w:rsidRDefault="00AA0D79">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6B2FA9">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6B2FA9">
      <w:rPr>
        <w:rFonts w:ascii="Arial" w:hAnsi="Arial" w:cs="Arial"/>
        <w:noProof/>
      </w:rPr>
      <w:t>2</w:t>
    </w:r>
    <w:r>
      <w:rPr>
        <w:rFonts w:ascii="Arial" w:hAnsi="Arial" w:cs="Arial"/>
      </w:rPr>
      <w:fldChar w:fldCharType="end"/>
    </w:r>
  </w:p>
  <w:p w14:paraId="63A5D7D9" w14:textId="77777777" w:rsidR="00AA0D79" w:rsidRDefault="00AA0D79">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53045" w14:textId="77777777" w:rsidR="00E01367" w:rsidRDefault="00E01367">
      <w:pPr>
        <w:spacing w:after="0" w:line="240" w:lineRule="auto"/>
      </w:pPr>
      <w:r>
        <w:separator/>
      </w:r>
    </w:p>
  </w:footnote>
  <w:footnote w:type="continuationSeparator" w:id="0">
    <w:p w14:paraId="6157E0AC" w14:textId="77777777" w:rsidR="00E01367" w:rsidRDefault="00E013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044EF7"/>
    <w:multiLevelType w:val="hybridMultilevel"/>
    <w:tmpl w:val="FFFFFFFF"/>
    <w:lvl w:ilvl="0" w:tplc="1C681014">
      <w:start w:val="1"/>
      <w:numFmt w:val="lowerLetter"/>
      <w:lvlText w:val="(%1)"/>
      <w:lvlJc w:val="left"/>
      <w:pPr>
        <w:ind w:left="1362" w:hanging="360"/>
      </w:pPr>
      <w:rPr>
        <w:rFonts w:cs="Times New Roman" w:hint="default"/>
      </w:rPr>
    </w:lvl>
    <w:lvl w:ilvl="1" w:tplc="08090019" w:tentative="1">
      <w:start w:val="1"/>
      <w:numFmt w:val="lowerLetter"/>
      <w:lvlText w:val="%2."/>
      <w:lvlJc w:val="left"/>
      <w:pPr>
        <w:ind w:left="2082" w:hanging="360"/>
      </w:pPr>
      <w:rPr>
        <w:rFonts w:cs="Times New Roman"/>
      </w:rPr>
    </w:lvl>
    <w:lvl w:ilvl="2" w:tplc="0809001B" w:tentative="1">
      <w:start w:val="1"/>
      <w:numFmt w:val="lowerRoman"/>
      <w:lvlText w:val="%3."/>
      <w:lvlJc w:val="right"/>
      <w:pPr>
        <w:ind w:left="2802" w:hanging="180"/>
      </w:pPr>
      <w:rPr>
        <w:rFonts w:cs="Times New Roman"/>
      </w:rPr>
    </w:lvl>
    <w:lvl w:ilvl="3" w:tplc="0809000F" w:tentative="1">
      <w:start w:val="1"/>
      <w:numFmt w:val="decimal"/>
      <w:lvlText w:val="%4."/>
      <w:lvlJc w:val="left"/>
      <w:pPr>
        <w:ind w:left="3522" w:hanging="360"/>
      </w:pPr>
      <w:rPr>
        <w:rFonts w:cs="Times New Roman"/>
      </w:rPr>
    </w:lvl>
    <w:lvl w:ilvl="4" w:tplc="08090019" w:tentative="1">
      <w:start w:val="1"/>
      <w:numFmt w:val="lowerLetter"/>
      <w:lvlText w:val="%5."/>
      <w:lvlJc w:val="left"/>
      <w:pPr>
        <w:ind w:left="4242" w:hanging="360"/>
      </w:pPr>
      <w:rPr>
        <w:rFonts w:cs="Times New Roman"/>
      </w:rPr>
    </w:lvl>
    <w:lvl w:ilvl="5" w:tplc="0809001B" w:tentative="1">
      <w:start w:val="1"/>
      <w:numFmt w:val="lowerRoman"/>
      <w:lvlText w:val="%6."/>
      <w:lvlJc w:val="right"/>
      <w:pPr>
        <w:ind w:left="4962" w:hanging="180"/>
      </w:pPr>
      <w:rPr>
        <w:rFonts w:cs="Times New Roman"/>
      </w:rPr>
    </w:lvl>
    <w:lvl w:ilvl="6" w:tplc="0809000F" w:tentative="1">
      <w:start w:val="1"/>
      <w:numFmt w:val="decimal"/>
      <w:lvlText w:val="%7."/>
      <w:lvlJc w:val="left"/>
      <w:pPr>
        <w:ind w:left="5682" w:hanging="360"/>
      </w:pPr>
      <w:rPr>
        <w:rFonts w:cs="Times New Roman"/>
      </w:rPr>
    </w:lvl>
    <w:lvl w:ilvl="7" w:tplc="08090019" w:tentative="1">
      <w:start w:val="1"/>
      <w:numFmt w:val="lowerLetter"/>
      <w:lvlText w:val="%8."/>
      <w:lvlJc w:val="left"/>
      <w:pPr>
        <w:ind w:left="6402" w:hanging="360"/>
      </w:pPr>
      <w:rPr>
        <w:rFonts w:cs="Times New Roman"/>
      </w:rPr>
    </w:lvl>
    <w:lvl w:ilvl="8" w:tplc="0809001B" w:tentative="1">
      <w:start w:val="1"/>
      <w:numFmt w:val="lowerRoman"/>
      <w:lvlText w:val="%9."/>
      <w:lvlJc w:val="right"/>
      <w:pPr>
        <w:ind w:left="7122" w:hanging="180"/>
      </w:pPr>
      <w:rPr>
        <w:rFonts w:cs="Times New Roman"/>
      </w:rPr>
    </w:lvl>
  </w:abstractNum>
  <w:num w:numId="1" w16cid:durableId="18533002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6B2FA9"/>
    <w:rsid w:val="00016315"/>
    <w:rsid w:val="001760DD"/>
    <w:rsid w:val="0036283B"/>
    <w:rsid w:val="004678F7"/>
    <w:rsid w:val="00552EC2"/>
    <w:rsid w:val="006B2FA9"/>
    <w:rsid w:val="00AA0D79"/>
    <w:rsid w:val="00E01367"/>
    <w:rsid w:val="00EE39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C1F494E"/>
  <w14:defaultImageDpi w14:val="0"/>
  <w15:docId w15:val="{565C2866-DD37-4001-BFAF-692D152F3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character" w:customStyle="1" w:styleId="Heading5Char">
    <w:name w:val="Heading 5 Char"/>
    <w:basedOn w:val="DefaultParagraphFont"/>
    <w:link w:val="Heading5"/>
    <w:uiPriority w:val="9"/>
    <w:semiHidden/>
    <w:locked/>
    <w:rPr>
      <w:rFonts w:cs="Times New Roman"/>
      <w:b/>
      <w:bCs/>
      <w:i/>
      <w:iCs/>
      <w:sz w:val="26"/>
      <w:szCs w:val="26"/>
    </w:rPr>
  </w:style>
  <w:style w:type="character" w:customStyle="1" w:styleId="Heading6Char">
    <w:name w:val="Heading 6 Char"/>
    <w:basedOn w:val="DefaultParagraphFont"/>
    <w:link w:val="Heading6"/>
    <w:uiPriority w:val="9"/>
    <w:semiHidden/>
    <w:locked/>
    <w:rPr>
      <w:rFonts w:cs="Times New Roman"/>
      <w:b/>
      <w:bCs/>
    </w:rPr>
  </w:style>
  <w:style w:type="table" w:styleId="TableGrid">
    <w:name w:val="Table Grid"/>
    <w:basedOn w:val="TableNormal"/>
    <w:uiPriority w:val="39"/>
    <w:rsid w:val="006B2FA9"/>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1906</Words>
  <Characters>10865</Characters>
  <Application>Microsoft Office Word</Application>
  <DocSecurity>0</DocSecurity>
  <Lines>90</Lines>
  <Paragraphs>25</Paragraphs>
  <ScaleCrop>false</ScaleCrop>
  <Company/>
  <LinksUpToDate>false</LinksUpToDate>
  <CharactersWithSpaces>12746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 (HAB)</dc:creator>
  <cp:keywords/>
  <dc:description>Created by the \'abHTML to RTF .Net\'bb 5.8.2.9</dc:description>
  <cp:lastModifiedBy>Lauren - Primrose Kitten</cp:lastModifiedBy>
  <cp:revision>2</cp:revision>
  <cp:lastPrinted>2022-05-05T10:25:00Z</cp:lastPrinted>
  <dcterms:created xsi:type="dcterms:W3CDTF">2023-07-23T08:15:00Z</dcterms:created>
  <dcterms:modified xsi:type="dcterms:W3CDTF">2023-07-23T08:15:00Z</dcterms:modified>
</cp:coreProperties>
</file>