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FC220" w14:textId="77777777" w:rsidR="008A63F3" w:rsidRDefault="008A63F3" w:rsidP="008A63F3">
      <w:pPr>
        <w:widowControl w:val="0"/>
        <w:autoSpaceDE w:val="0"/>
        <w:autoSpaceDN w:val="0"/>
        <w:adjustRightInd w:val="0"/>
        <w:spacing w:before="450" w:after="45" w:line="240" w:lineRule="auto"/>
        <w:ind w:left="150" w:right="45"/>
        <w:jc w:val="center"/>
        <w:rPr>
          <w:rFonts w:ascii="Arial" w:hAnsi="Arial" w:cs="Arial"/>
          <w:b/>
          <w:bCs/>
          <w:color w:val="000000"/>
          <w:sz w:val="27"/>
          <w:szCs w:val="27"/>
        </w:rPr>
      </w:pPr>
      <w:r>
        <w:rPr>
          <w:rFonts w:ascii="Arial" w:hAnsi="Arial" w:cs="Arial"/>
          <w:b/>
          <w:bCs/>
          <w:color w:val="000000"/>
          <w:sz w:val="27"/>
          <w:szCs w:val="27"/>
        </w:rPr>
        <w:t xml:space="preserve">Immunity End Of Topic Test </w:t>
      </w:r>
    </w:p>
    <w:tbl>
      <w:tblPr>
        <w:tblStyle w:val="TableGrid"/>
        <w:tblW w:w="9881" w:type="dxa"/>
        <w:tblInd w:w="150" w:type="dxa"/>
        <w:tblLook w:val="04A0" w:firstRow="1" w:lastRow="0" w:firstColumn="1" w:lastColumn="0" w:noHBand="0" w:noVBand="1"/>
      </w:tblPr>
      <w:tblGrid>
        <w:gridCol w:w="1096"/>
        <w:gridCol w:w="2548"/>
        <w:gridCol w:w="850"/>
        <w:gridCol w:w="851"/>
        <w:gridCol w:w="4536"/>
      </w:tblGrid>
      <w:tr w:rsidR="00296AE1" w14:paraId="13105CAC" w14:textId="77777777" w:rsidTr="00296AE1">
        <w:trPr>
          <w:trHeight w:val="487"/>
        </w:trPr>
        <w:tc>
          <w:tcPr>
            <w:tcW w:w="1096" w:type="dxa"/>
            <w:hideMark/>
          </w:tcPr>
          <w:p w14:paraId="12C74D8C" w14:textId="77777777" w:rsidR="008A63F3" w:rsidRDefault="008A63F3">
            <w:pPr>
              <w:widowControl w:val="0"/>
              <w:autoSpaceDE w:val="0"/>
              <w:autoSpaceDN w:val="0"/>
              <w:adjustRightInd w:val="0"/>
              <w:spacing w:before="450" w:after="45"/>
              <w:ind w:right="45"/>
              <w:jc w:val="center"/>
              <w:rPr>
                <w:rFonts w:cs="Calibri"/>
                <w:b/>
                <w:bCs/>
                <w:color w:val="000000"/>
                <w:szCs w:val="20"/>
              </w:rPr>
            </w:pPr>
            <w:r>
              <w:rPr>
                <w:rFonts w:cs="Calibri"/>
                <w:b/>
                <w:bCs/>
                <w:color w:val="000000"/>
                <w:szCs w:val="20"/>
              </w:rPr>
              <w:t>Question Number</w:t>
            </w:r>
          </w:p>
        </w:tc>
        <w:tc>
          <w:tcPr>
            <w:tcW w:w="2548" w:type="dxa"/>
            <w:hideMark/>
          </w:tcPr>
          <w:p w14:paraId="02F6BA85" w14:textId="77777777" w:rsidR="008A63F3" w:rsidRDefault="008A63F3">
            <w:pPr>
              <w:widowControl w:val="0"/>
              <w:autoSpaceDE w:val="0"/>
              <w:autoSpaceDN w:val="0"/>
              <w:adjustRightInd w:val="0"/>
              <w:spacing w:before="450" w:after="45"/>
              <w:ind w:right="45"/>
              <w:jc w:val="center"/>
              <w:rPr>
                <w:rFonts w:cs="Calibri"/>
                <w:b/>
                <w:bCs/>
                <w:color w:val="000000"/>
                <w:szCs w:val="20"/>
              </w:rPr>
            </w:pPr>
            <w:r>
              <w:rPr>
                <w:rFonts w:cs="Calibri"/>
                <w:b/>
                <w:bCs/>
                <w:color w:val="000000"/>
                <w:szCs w:val="20"/>
              </w:rPr>
              <w:t>Question Topic</w:t>
            </w:r>
          </w:p>
        </w:tc>
        <w:tc>
          <w:tcPr>
            <w:tcW w:w="850" w:type="dxa"/>
            <w:hideMark/>
          </w:tcPr>
          <w:p w14:paraId="4E5E3ECE" w14:textId="77777777" w:rsidR="008A63F3" w:rsidRDefault="008A63F3">
            <w:pPr>
              <w:widowControl w:val="0"/>
              <w:autoSpaceDE w:val="0"/>
              <w:autoSpaceDN w:val="0"/>
              <w:adjustRightInd w:val="0"/>
              <w:spacing w:before="450" w:after="45"/>
              <w:ind w:right="45"/>
              <w:jc w:val="center"/>
              <w:rPr>
                <w:rFonts w:cs="Calibri"/>
                <w:b/>
                <w:bCs/>
                <w:color w:val="000000"/>
                <w:szCs w:val="20"/>
              </w:rPr>
            </w:pPr>
            <w:r>
              <w:rPr>
                <w:rFonts w:cs="Calibri"/>
                <w:b/>
                <w:bCs/>
                <w:color w:val="000000"/>
                <w:szCs w:val="20"/>
              </w:rPr>
              <w:t>Total Marks</w:t>
            </w:r>
          </w:p>
        </w:tc>
        <w:tc>
          <w:tcPr>
            <w:tcW w:w="851" w:type="dxa"/>
            <w:hideMark/>
          </w:tcPr>
          <w:p w14:paraId="109C516A" w14:textId="77777777" w:rsidR="008A63F3" w:rsidRDefault="008A63F3">
            <w:pPr>
              <w:widowControl w:val="0"/>
              <w:autoSpaceDE w:val="0"/>
              <w:autoSpaceDN w:val="0"/>
              <w:adjustRightInd w:val="0"/>
              <w:spacing w:before="450" w:after="45"/>
              <w:ind w:right="45"/>
              <w:jc w:val="center"/>
              <w:rPr>
                <w:rFonts w:cs="Calibri"/>
                <w:b/>
                <w:bCs/>
                <w:color w:val="000000"/>
                <w:szCs w:val="20"/>
              </w:rPr>
            </w:pPr>
            <w:r>
              <w:rPr>
                <w:rFonts w:cs="Calibri"/>
                <w:b/>
                <w:bCs/>
                <w:color w:val="000000"/>
                <w:szCs w:val="20"/>
              </w:rPr>
              <w:t>My Mark</w:t>
            </w:r>
          </w:p>
        </w:tc>
        <w:tc>
          <w:tcPr>
            <w:tcW w:w="4536" w:type="dxa"/>
            <w:hideMark/>
          </w:tcPr>
          <w:p w14:paraId="57EBFB31" w14:textId="77777777" w:rsidR="008A63F3" w:rsidRDefault="008A63F3">
            <w:pPr>
              <w:widowControl w:val="0"/>
              <w:autoSpaceDE w:val="0"/>
              <w:autoSpaceDN w:val="0"/>
              <w:adjustRightInd w:val="0"/>
              <w:spacing w:before="450" w:after="45"/>
              <w:ind w:right="45"/>
              <w:jc w:val="center"/>
              <w:rPr>
                <w:rFonts w:cs="Calibri"/>
                <w:b/>
                <w:bCs/>
                <w:color w:val="000000"/>
                <w:szCs w:val="20"/>
              </w:rPr>
            </w:pPr>
            <w:r>
              <w:rPr>
                <w:rFonts w:cs="Calibri"/>
                <w:b/>
                <w:bCs/>
                <w:color w:val="000000"/>
                <w:szCs w:val="20"/>
              </w:rPr>
              <w:t>How can I Improve?</w:t>
            </w:r>
          </w:p>
        </w:tc>
      </w:tr>
      <w:tr w:rsidR="008A63F3" w14:paraId="40D9F013" w14:textId="77777777" w:rsidTr="00296AE1">
        <w:trPr>
          <w:trHeight w:val="20"/>
        </w:trPr>
        <w:tc>
          <w:tcPr>
            <w:tcW w:w="1096" w:type="dxa"/>
            <w:hideMark/>
          </w:tcPr>
          <w:p w14:paraId="75BFEC1A"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1</w:t>
            </w:r>
          </w:p>
        </w:tc>
        <w:tc>
          <w:tcPr>
            <w:tcW w:w="2548" w:type="dxa"/>
          </w:tcPr>
          <w:p w14:paraId="5ED1956F"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Phagocytes and Antibodies</w:t>
            </w:r>
          </w:p>
        </w:tc>
        <w:tc>
          <w:tcPr>
            <w:tcW w:w="850" w:type="dxa"/>
          </w:tcPr>
          <w:p w14:paraId="295EA40F"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7</w:t>
            </w:r>
          </w:p>
        </w:tc>
        <w:tc>
          <w:tcPr>
            <w:tcW w:w="851" w:type="dxa"/>
          </w:tcPr>
          <w:p w14:paraId="2EC89A08" w14:textId="77777777" w:rsidR="008A63F3" w:rsidRDefault="008A63F3">
            <w:pPr>
              <w:widowControl w:val="0"/>
              <w:autoSpaceDE w:val="0"/>
              <w:autoSpaceDN w:val="0"/>
              <w:adjustRightInd w:val="0"/>
              <w:spacing w:before="450" w:after="45"/>
              <w:ind w:right="45"/>
              <w:rPr>
                <w:rFonts w:cs="Calibri"/>
                <w:bCs/>
                <w:color w:val="000000"/>
                <w:szCs w:val="20"/>
              </w:rPr>
            </w:pPr>
          </w:p>
        </w:tc>
        <w:tc>
          <w:tcPr>
            <w:tcW w:w="4536" w:type="dxa"/>
          </w:tcPr>
          <w:p w14:paraId="60CA02CA" w14:textId="77777777" w:rsidR="008A63F3" w:rsidRDefault="008A63F3">
            <w:pPr>
              <w:widowControl w:val="0"/>
              <w:autoSpaceDE w:val="0"/>
              <w:autoSpaceDN w:val="0"/>
              <w:adjustRightInd w:val="0"/>
              <w:spacing w:before="450" w:after="45"/>
              <w:ind w:right="45"/>
              <w:rPr>
                <w:rFonts w:cs="Calibri"/>
                <w:bCs/>
                <w:color w:val="000000"/>
                <w:szCs w:val="20"/>
              </w:rPr>
            </w:pPr>
          </w:p>
        </w:tc>
      </w:tr>
      <w:tr w:rsidR="008A63F3" w14:paraId="6BED7DEB" w14:textId="77777777" w:rsidTr="00296AE1">
        <w:trPr>
          <w:trHeight w:val="20"/>
        </w:trPr>
        <w:tc>
          <w:tcPr>
            <w:tcW w:w="1096" w:type="dxa"/>
            <w:hideMark/>
          </w:tcPr>
          <w:p w14:paraId="03DBE9F0"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2</w:t>
            </w:r>
          </w:p>
        </w:tc>
        <w:tc>
          <w:tcPr>
            <w:tcW w:w="2548" w:type="dxa"/>
          </w:tcPr>
          <w:p w14:paraId="26AA5848"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HIV</w:t>
            </w:r>
          </w:p>
        </w:tc>
        <w:tc>
          <w:tcPr>
            <w:tcW w:w="850" w:type="dxa"/>
          </w:tcPr>
          <w:p w14:paraId="70098F8E" w14:textId="77777777" w:rsidR="008A63F3"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8</w:t>
            </w:r>
          </w:p>
        </w:tc>
        <w:tc>
          <w:tcPr>
            <w:tcW w:w="851" w:type="dxa"/>
          </w:tcPr>
          <w:p w14:paraId="39D52CC7" w14:textId="77777777" w:rsidR="008A63F3" w:rsidRDefault="008A63F3">
            <w:pPr>
              <w:widowControl w:val="0"/>
              <w:autoSpaceDE w:val="0"/>
              <w:autoSpaceDN w:val="0"/>
              <w:adjustRightInd w:val="0"/>
              <w:spacing w:before="450" w:after="45"/>
              <w:ind w:right="45"/>
              <w:rPr>
                <w:rFonts w:cs="Calibri"/>
                <w:bCs/>
                <w:color w:val="000000"/>
                <w:szCs w:val="20"/>
              </w:rPr>
            </w:pPr>
          </w:p>
        </w:tc>
        <w:tc>
          <w:tcPr>
            <w:tcW w:w="4536" w:type="dxa"/>
          </w:tcPr>
          <w:p w14:paraId="4223A13D" w14:textId="77777777" w:rsidR="008A63F3" w:rsidRDefault="008A63F3">
            <w:pPr>
              <w:widowControl w:val="0"/>
              <w:autoSpaceDE w:val="0"/>
              <w:autoSpaceDN w:val="0"/>
              <w:adjustRightInd w:val="0"/>
              <w:spacing w:before="450" w:after="45"/>
              <w:ind w:right="45"/>
              <w:rPr>
                <w:rFonts w:cs="Calibri"/>
                <w:bCs/>
                <w:color w:val="000000"/>
                <w:szCs w:val="20"/>
              </w:rPr>
            </w:pPr>
          </w:p>
        </w:tc>
      </w:tr>
      <w:tr w:rsidR="008A63F3" w14:paraId="57BE28A3" w14:textId="77777777" w:rsidTr="00296AE1">
        <w:trPr>
          <w:trHeight w:val="20"/>
        </w:trPr>
        <w:tc>
          <w:tcPr>
            <w:tcW w:w="1096" w:type="dxa"/>
            <w:hideMark/>
          </w:tcPr>
          <w:p w14:paraId="11049BA2"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3</w:t>
            </w:r>
          </w:p>
        </w:tc>
        <w:tc>
          <w:tcPr>
            <w:tcW w:w="2548" w:type="dxa"/>
          </w:tcPr>
          <w:p w14:paraId="78D341AE"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Vaccines and Antibodies</w:t>
            </w:r>
          </w:p>
        </w:tc>
        <w:tc>
          <w:tcPr>
            <w:tcW w:w="850" w:type="dxa"/>
          </w:tcPr>
          <w:p w14:paraId="5B8BBA61" w14:textId="77777777" w:rsidR="008A63F3"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9</w:t>
            </w:r>
          </w:p>
        </w:tc>
        <w:tc>
          <w:tcPr>
            <w:tcW w:w="851" w:type="dxa"/>
          </w:tcPr>
          <w:p w14:paraId="1A79F2FB" w14:textId="77777777" w:rsidR="008A63F3" w:rsidRDefault="008A63F3">
            <w:pPr>
              <w:widowControl w:val="0"/>
              <w:autoSpaceDE w:val="0"/>
              <w:autoSpaceDN w:val="0"/>
              <w:adjustRightInd w:val="0"/>
              <w:spacing w:before="450" w:after="45"/>
              <w:ind w:right="45"/>
              <w:rPr>
                <w:rFonts w:cs="Calibri"/>
                <w:bCs/>
                <w:color w:val="000000"/>
                <w:szCs w:val="20"/>
              </w:rPr>
            </w:pPr>
          </w:p>
        </w:tc>
        <w:tc>
          <w:tcPr>
            <w:tcW w:w="4536" w:type="dxa"/>
          </w:tcPr>
          <w:p w14:paraId="536B558F" w14:textId="77777777" w:rsidR="008A63F3" w:rsidRDefault="008A63F3">
            <w:pPr>
              <w:widowControl w:val="0"/>
              <w:autoSpaceDE w:val="0"/>
              <w:autoSpaceDN w:val="0"/>
              <w:adjustRightInd w:val="0"/>
              <w:spacing w:before="450" w:after="45"/>
              <w:ind w:right="45"/>
              <w:rPr>
                <w:rFonts w:cs="Calibri"/>
                <w:bCs/>
                <w:color w:val="000000"/>
                <w:szCs w:val="20"/>
              </w:rPr>
            </w:pPr>
          </w:p>
        </w:tc>
      </w:tr>
      <w:tr w:rsidR="008A63F3" w14:paraId="7151A3A9" w14:textId="77777777" w:rsidTr="00296AE1">
        <w:trPr>
          <w:trHeight w:val="20"/>
        </w:trPr>
        <w:tc>
          <w:tcPr>
            <w:tcW w:w="1096" w:type="dxa"/>
            <w:hideMark/>
          </w:tcPr>
          <w:p w14:paraId="3529DF50"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4</w:t>
            </w:r>
          </w:p>
        </w:tc>
        <w:tc>
          <w:tcPr>
            <w:tcW w:w="2548" w:type="dxa"/>
          </w:tcPr>
          <w:p w14:paraId="2268E1B2"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Comprehension</w:t>
            </w:r>
          </w:p>
        </w:tc>
        <w:tc>
          <w:tcPr>
            <w:tcW w:w="850" w:type="dxa"/>
          </w:tcPr>
          <w:p w14:paraId="2CA73724" w14:textId="77777777" w:rsidR="008A63F3"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10</w:t>
            </w:r>
          </w:p>
        </w:tc>
        <w:tc>
          <w:tcPr>
            <w:tcW w:w="851" w:type="dxa"/>
          </w:tcPr>
          <w:p w14:paraId="25FB32E0" w14:textId="77777777" w:rsidR="008A63F3" w:rsidRDefault="008A63F3">
            <w:pPr>
              <w:widowControl w:val="0"/>
              <w:autoSpaceDE w:val="0"/>
              <w:autoSpaceDN w:val="0"/>
              <w:adjustRightInd w:val="0"/>
              <w:spacing w:before="450" w:after="45"/>
              <w:ind w:right="45"/>
              <w:rPr>
                <w:rFonts w:cs="Calibri"/>
                <w:bCs/>
                <w:color w:val="000000"/>
                <w:szCs w:val="20"/>
              </w:rPr>
            </w:pPr>
          </w:p>
        </w:tc>
        <w:tc>
          <w:tcPr>
            <w:tcW w:w="4536" w:type="dxa"/>
          </w:tcPr>
          <w:p w14:paraId="30DB8A33" w14:textId="77777777" w:rsidR="008A63F3" w:rsidRDefault="008A63F3">
            <w:pPr>
              <w:widowControl w:val="0"/>
              <w:autoSpaceDE w:val="0"/>
              <w:autoSpaceDN w:val="0"/>
              <w:adjustRightInd w:val="0"/>
              <w:spacing w:before="450" w:after="45"/>
              <w:ind w:right="45"/>
              <w:rPr>
                <w:rFonts w:cs="Calibri"/>
                <w:bCs/>
                <w:color w:val="000000"/>
                <w:szCs w:val="20"/>
              </w:rPr>
            </w:pPr>
          </w:p>
        </w:tc>
      </w:tr>
      <w:tr w:rsidR="008A63F3" w14:paraId="00333F43" w14:textId="77777777" w:rsidTr="00296AE1">
        <w:trPr>
          <w:trHeight w:val="20"/>
        </w:trPr>
        <w:tc>
          <w:tcPr>
            <w:tcW w:w="1096" w:type="dxa"/>
            <w:hideMark/>
          </w:tcPr>
          <w:p w14:paraId="64008221"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5</w:t>
            </w:r>
          </w:p>
        </w:tc>
        <w:tc>
          <w:tcPr>
            <w:tcW w:w="2548" w:type="dxa"/>
          </w:tcPr>
          <w:p w14:paraId="028D1006"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HIV stricture and effect</w:t>
            </w:r>
          </w:p>
        </w:tc>
        <w:tc>
          <w:tcPr>
            <w:tcW w:w="850" w:type="dxa"/>
          </w:tcPr>
          <w:p w14:paraId="78AC5619" w14:textId="77777777" w:rsidR="008A63F3"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9</w:t>
            </w:r>
          </w:p>
        </w:tc>
        <w:tc>
          <w:tcPr>
            <w:tcW w:w="851" w:type="dxa"/>
          </w:tcPr>
          <w:p w14:paraId="066FE577" w14:textId="77777777" w:rsidR="008A63F3" w:rsidRDefault="008A63F3">
            <w:pPr>
              <w:widowControl w:val="0"/>
              <w:autoSpaceDE w:val="0"/>
              <w:autoSpaceDN w:val="0"/>
              <w:adjustRightInd w:val="0"/>
              <w:spacing w:before="450" w:after="45"/>
              <w:ind w:right="45"/>
              <w:rPr>
                <w:rFonts w:cs="Calibri"/>
                <w:bCs/>
                <w:color w:val="000000"/>
                <w:szCs w:val="20"/>
              </w:rPr>
            </w:pPr>
          </w:p>
        </w:tc>
        <w:tc>
          <w:tcPr>
            <w:tcW w:w="4536" w:type="dxa"/>
          </w:tcPr>
          <w:p w14:paraId="0DC2AB53" w14:textId="77777777" w:rsidR="008A63F3" w:rsidRDefault="008A63F3">
            <w:pPr>
              <w:widowControl w:val="0"/>
              <w:autoSpaceDE w:val="0"/>
              <w:autoSpaceDN w:val="0"/>
              <w:adjustRightInd w:val="0"/>
              <w:spacing w:before="450" w:after="45"/>
              <w:ind w:right="45"/>
              <w:rPr>
                <w:rFonts w:cs="Calibri"/>
                <w:bCs/>
                <w:color w:val="000000"/>
                <w:szCs w:val="20"/>
              </w:rPr>
            </w:pPr>
          </w:p>
        </w:tc>
      </w:tr>
      <w:tr w:rsidR="008A63F3" w14:paraId="1732BA07" w14:textId="77777777" w:rsidTr="00296AE1">
        <w:trPr>
          <w:trHeight w:val="20"/>
        </w:trPr>
        <w:tc>
          <w:tcPr>
            <w:tcW w:w="1096" w:type="dxa"/>
            <w:hideMark/>
          </w:tcPr>
          <w:p w14:paraId="490E91FB"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6</w:t>
            </w:r>
          </w:p>
        </w:tc>
        <w:tc>
          <w:tcPr>
            <w:tcW w:w="2548" w:type="dxa"/>
          </w:tcPr>
          <w:p w14:paraId="4F031D34" w14:textId="77777777" w:rsidR="008A63F3" w:rsidRDefault="008A63F3">
            <w:pPr>
              <w:widowControl w:val="0"/>
              <w:autoSpaceDE w:val="0"/>
              <w:autoSpaceDN w:val="0"/>
              <w:adjustRightInd w:val="0"/>
              <w:spacing w:before="450" w:after="45"/>
              <w:ind w:right="45"/>
              <w:rPr>
                <w:rFonts w:cs="Calibri"/>
                <w:bCs/>
                <w:color w:val="000000"/>
                <w:szCs w:val="20"/>
              </w:rPr>
            </w:pPr>
            <w:r>
              <w:rPr>
                <w:rFonts w:cs="Calibri"/>
                <w:bCs/>
                <w:color w:val="000000"/>
                <w:szCs w:val="20"/>
              </w:rPr>
              <w:t>Monoclonal Antibodies</w:t>
            </w:r>
          </w:p>
        </w:tc>
        <w:tc>
          <w:tcPr>
            <w:tcW w:w="850" w:type="dxa"/>
          </w:tcPr>
          <w:p w14:paraId="45844602" w14:textId="77777777" w:rsidR="008A63F3"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9</w:t>
            </w:r>
          </w:p>
        </w:tc>
        <w:tc>
          <w:tcPr>
            <w:tcW w:w="851" w:type="dxa"/>
          </w:tcPr>
          <w:p w14:paraId="7E7E86B3" w14:textId="77777777" w:rsidR="008A63F3" w:rsidRDefault="008A63F3">
            <w:pPr>
              <w:widowControl w:val="0"/>
              <w:autoSpaceDE w:val="0"/>
              <w:autoSpaceDN w:val="0"/>
              <w:adjustRightInd w:val="0"/>
              <w:spacing w:before="450" w:after="45"/>
              <w:ind w:right="45"/>
              <w:rPr>
                <w:rFonts w:cs="Calibri"/>
                <w:bCs/>
                <w:color w:val="000000"/>
                <w:szCs w:val="20"/>
              </w:rPr>
            </w:pPr>
          </w:p>
        </w:tc>
        <w:tc>
          <w:tcPr>
            <w:tcW w:w="4536" w:type="dxa"/>
          </w:tcPr>
          <w:p w14:paraId="57028846" w14:textId="77777777" w:rsidR="008A63F3" w:rsidRDefault="008A63F3">
            <w:pPr>
              <w:widowControl w:val="0"/>
              <w:autoSpaceDE w:val="0"/>
              <w:autoSpaceDN w:val="0"/>
              <w:adjustRightInd w:val="0"/>
              <w:spacing w:before="450" w:after="45"/>
              <w:ind w:right="45"/>
              <w:rPr>
                <w:rFonts w:cs="Calibri"/>
                <w:bCs/>
                <w:color w:val="000000"/>
                <w:szCs w:val="20"/>
              </w:rPr>
            </w:pPr>
          </w:p>
        </w:tc>
      </w:tr>
      <w:tr w:rsidR="00296AE1" w14:paraId="5E5C3B2C" w14:textId="77777777" w:rsidTr="00296AE1">
        <w:trPr>
          <w:trHeight w:val="20"/>
        </w:trPr>
        <w:tc>
          <w:tcPr>
            <w:tcW w:w="1096" w:type="dxa"/>
          </w:tcPr>
          <w:p w14:paraId="101754CB" w14:textId="77777777" w:rsidR="00296AE1" w:rsidRDefault="00296AE1">
            <w:pPr>
              <w:widowControl w:val="0"/>
              <w:autoSpaceDE w:val="0"/>
              <w:autoSpaceDN w:val="0"/>
              <w:adjustRightInd w:val="0"/>
              <w:spacing w:before="450" w:after="45"/>
              <w:ind w:right="45"/>
              <w:rPr>
                <w:rFonts w:cs="Calibri"/>
                <w:bCs/>
                <w:color w:val="000000"/>
                <w:szCs w:val="20"/>
              </w:rPr>
            </w:pPr>
          </w:p>
        </w:tc>
        <w:tc>
          <w:tcPr>
            <w:tcW w:w="2548" w:type="dxa"/>
          </w:tcPr>
          <w:p w14:paraId="6A1CB6B3" w14:textId="77777777" w:rsidR="00296AE1"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Total</w:t>
            </w:r>
          </w:p>
        </w:tc>
        <w:tc>
          <w:tcPr>
            <w:tcW w:w="850" w:type="dxa"/>
          </w:tcPr>
          <w:p w14:paraId="6A99F1C0" w14:textId="77777777" w:rsidR="00296AE1" w:rsidRDefault="00296AE1">
            <w:pPr>
              <w:widowControl w:val="0"/>
              <w:autoSpaceDE w:val="0"/>
              <w:autoSpaceDN w:val="0"/>
              <w:adjustRightInd w:val="0"/>
              <w:spacing w:before="450" w:after="45"/>
              <w:ind w:right="45"/>
              <w:rPr>
                <w:rFonts w:cs="Calibri"/>
                <w:bCs/>
                <w:color w:val="000000"/>
                <w:szCs w:val="20"/>
              </w:rPr>
            </w:pPr>
            <w:r>
              <w:rPr>
                <w:rFonts w:cs="Calibri"/>
                <w:bCs/>
                <w:color w:val="000000"/>
                <w:szCs w:val="20"/>
              </w:rPr>
              <w:t>61</w:t>
            </w:r>
          </w:p>
        </w:tc>
        <w:tc>
          <w:tcPr>
            <w:tcW w:w="851" w:type="dxa"/>
          </w:tcPr>
          <w:p w14:paraId="2EDC5534" w14:textId="77777777" w:rsidR="00296AE1" w:rsidRDefault="00296AE1">
            <w:pPr>
              <w:widowControl w:val="0"/>
              <w:autoSpaceDE w:val="0"/>
              <w:autoSpaceDN w:val="0"/>
              <w:adjustRightInd w:val="0"/>
              <w:spacing w:before="450" w:after="45"/>
              <w:ind w:right="45"/>
              <w:rPr>
                <w:rFonts w:cs="Calibri"/>
                <w:bCs/>
                <w:color w:val="000000"/>
                <w:szCs w:val="20"/>
              </w:rPr>
            </w:pPr>
          </w:p>
        </w:tc>
        <w:tc>
          <w:tcPr>
            <w:tcW w:w="4536" w:type="dxa"/>
          </w:tcPr>
          <w:p w14:paraId="55BD686F" w14:textId="77777777" w:rsidR="00296AE1" w:rsidRDefault="00296AE1">
            <w:pPr>
              <w:widowControl w:val="0"/>
              <w:autoSpaceDE w:val="0"/>
              <w:autoSpaceDN w:val="0"/>
              <w:adjustRightInd w:val="0"/>
              <w:spacing w:before="450" w:after="45"/>
              <w:ind w:right="45"/>
              <w:rPr>
                <w:rFonts w:cs="Calibri"/>
                <w:bCs/>
                <w:color w:val="000000"/>
                <w:szCs w:val="20"/>
              </w:rPr>
            </w:pPr>
          </w:p>
        </w:tc>
      </w:tr>
    </w:tbl>
    <w:p w14:paraId="1356E074" w14:textId="77777777" w:rsidR="008A63F3" w:rsidRDefault="008A63F3" w:rsidP="008A63F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06ED70FA" w14:textId="77777777" w:rsidR="008A63F3" w:rsidRDefault="008A63F3" w:rsidP="008A63F3">
      <w:pPr>
        <w:widowControl w:val="0"/>
        <w:autoSpaceDE w:val="0"/>
        <w:autoSpaceDN w:val="0"/>
        <w:adjustRightInd w:val="0"/>
        <w:spacing w:after="0" w:line="240" w:lineRule="auto"/>
        <w:ind w:left="1134" w:right="567" w:hanging="567"/>
        <w:rPr>
          <w:rFonts w:ascii="Arial" w:hAnsi="Arial" w:cs="Arial"/>
        </w:rPr>
      </w:pPr>
      <w:r>
        <w:rPr>
          <w:rFonts w:ascii="Arial" w:hAnsi="Arial" w:cs="Arial"/>
        </w:rPr>
        <w:t>(a)     What is a pathogen?</w:t>
      </w:r>
    </w:p>
    <w:p w14:paraId="5E13C816"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EFE6B5" w14:textId="77777777" w:rsidR="008A63F3" w:rsidRDefault="008A63F3" w:rsidP="008A63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9728B1E" w14:textId="77777777" w:rsidR="008A63F3" w:rsidRDefault="008A63F3" w:rsidP="008A63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When a pathogen enters the body it may be destroyed by phagocytosis.</w:t>
      </w:r>
      <w:r>
        <w:rPr>
          <w:rFonts w:ascii="Arial" w:hAnsi="Arial" w:cs="Arial"/>
        </w:rPr>
        <w:br/>
        <w:t>Describe how.</w:t>
      </w:r>
    </w:p>
    <w:p w14:paraId="0A4FBDD1"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31AC14"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A35B18"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EAB423"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0D657A"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FACD17"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9AC80B"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F91BED"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B102FA" w14:textId="77777777" w:rsidR="008A63F3" w:rsidRDefault="008A63F3" w:rsidP="008A63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60CC0D48" w14:textId="77777777" w:rsidR="00296AE1" w:rsidRDefault="00296AE1" w:rsidP="008A63F3">
      <w:pPr>
        <w:widowControl w:val="0"/>
        <w:autoSpaceDE w:val="0"/>
        <w:autoSpaceDN w:val="0"/>
        <w:adjustRightInd w:val="0"/>
        <w:spacing w:before="240" w:after="0" w:line="240" w:lineRule="auto"/>
        <w:ind w:left="1134" w:right="567" w:hanging="567"/>
        <w:rPr>
          <w:rFonts w:ascii="Arial" w:hAnsi="Arial" w:cs="Arial"/>
        </w:rPr>
      </w:pPr>
    </w:p>
    <w:p w14:paraId="0F26628B" w14:textId="77777777" w:rsidR="008A63F3" w:rsidRDefault="008A63F3" w:rsidP="008A63F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When a pathogen causes an infection, plasma cells secrete antibodies which destroy this pathogen.</w:t>
      </w:r>
    </w:p>
    <w:p w14:paraId="4E9F2ABD"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these antibodies are only effective against a specific pathogen.</w:t>
      </w:r>
    </w:p>
    <w:p w14:paraId="4B376FFF"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D07396"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EF152F"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0CA827"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9BD893" w14:textId="77777777" w:rsidR="008A63F3" w:rsidRDefault="008A63F3" w:rsidP="008A63F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D07BB5" w14:textId="77777777" w:rsidR="008A63F3" w:rsidRDefault="008A63F3" w:rsidP="008A63F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426B5B5" w14:textId="77777777" w:rsidR="008D0C68" w:rsidRDefault="008D0C6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2C15AA69" w14:textId="77777777" w:rsidR="008D0C68" w:rsidRDefault="008D0C68">
      <w:pPr>
        <w:widowControl w:val="0"/>
        <w:autoSpaceDE w:val="0"/>
        <w:autoSpaceDN w:val="0"/>
        <w:adjustRightInd w:val="0"/>
        <w:spacing w:after="0" w:line="240" w:lineRule="auto"/>
        <w:ind w:left="1134" w:right="567" w:hanging="567"/>
        <w:rPr>
          <w:rFonts w:ascii="Arial" w:hAnsi="Arial" w:cs="Arial"/>
        </w:rPr>
      </w:pPr>
      <w:r>
        <w:rPr>
          <w:rFonts w:ascii="Arial" w:hAnsi="Arial" w:cs="Arial"/>
        </w:rPr>
        <w:t>(a)     The table below shows features of a bacterium and the human immunodeficiency virus (HIV) particle.</w:t>
      </w:r>
    </w:p>
    <w:p w14:paraId="563746D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Complete the table by putting a tick (</w:t>
      </w:r>
      <w:r>
        <w:rPr>
          <w:rFonts w:ascii="Segoe UI Emoji" w:hAnsi="Segoe UI Emoji" w:cs="Segoe UI Emoji"/>
        </w:rPr>
        <w:t>✔</w:t>
      </w:r>
      <w:r>
        <w:rPr>
          <w:rFonts w:ascii="Arial" w:hAnsi="Arial" w:cs="Arial"/>
        </w:rPr>
        <w:t>) where a feature is present.</w:t>
      </w:r>
    </w:p>
    <w:p w14:paraId="21A4EDD6" w14:textId="77777777" w:rsidR="008D0C68" w:rsidRDefault="008D0C68">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2142"/>
        <w:gridCol w:w="2142"/>
        <w:gridCol w:w="2142"/>
      </w:tblGrid>
      <w:tr w:rsidR="008D0C68" w14:paraId="59039FBA" w14:textId="7777777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4F44F4C5" w14:textId="77777777" w:rsidR="008D0C68" w:rsidRDefault="008D0C68">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Feature</w:t>
            </w:r>
          </w:p>
        </w:tc>
        <w:tc>
          <w:tcPr>
            <w:tcW w:w="2142" w:type="dxa"/>
            <w:tcBorders>
              <w:top w:val="single" w:sz="6" w:space="0" w:color="000000"/>
              <w:left w:val="single" w:sz="6" w:space="0" w:color="000000"/>
              <w:bottom w:val="single" w:sz="6" w:space="0" w:color="000000"/>
              <w:right w:val="single" w:sz="6" w:space="0" w:color="000000"/>
            </w:tcBorders>
            <w:vAlign w:val="center"/>
          </w:tcPr>
          <w:p w14:paraId="236F1517"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Bacterium</w:t>
            </w:r>
          </w:p>
        </w:tc>
        <w:tc>
          <w:tcPr>
            <w:tcW w:w="2142" w:type="dxa"/>
            <w:tcBorders>
              <w:top w:val="single" w:sz="6" w:space="0" w:color="000000"/>
              <w:left w:val="single" w:sz="6" w:space="0" w:color="000000"/>
              <w:bottom w:val="single" w:sz="6" w:space="0" w:color="000000"/>
              <w:right w:val="single" w:sz="6" w:space="0" w:color="000000"/>
            </w:tcBorders>
            <w:vAlign w:val="center"/>
          </w:tcPr>
          <w:p w14:paraId="7788DFEE"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Human immunodeficiency virus (HIV) particle</w:t>
            </w:r>
          </w:p>
        </w:tc>
      </w:tr>
      <w:tr w:rsidR="008D0C68" w14:paraId="73E4520E" w14:textId="7777777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7B137C8E" w14:textId="77777777" w:rsidR="008D0C68" w:rsidRDefault="008D0C68">
            <w:pPr>
              <w:widowControl w:val="0"/>
              <w:autoSpaceDE w:val="0"/>
              <w:autoSpaceDN w:val="0"/>
              <w:adjustRightInd w:val="0"/>
              <w:spacing w:before="90" w:after="90" w:line="240" w:lineRule="auto"/>
              <w:ind w:left="45" w:right="45"/>
              <w:rPr>
                <w:rFonts w:ascii="Arial" w:hAnsi="Arial" w:cs="Arial"/>
              </w:rPr>
            </w:pPr>
            <w:r>
              <w:rPr>
                <w:rFonts w:ascii="Arial" w:hAnsi="Arial" w:cs="Arial"/>
              </w:rPr>
              <w:t>RNA</w:t>
            </w:r>
          </w:p>
        </w:tc>
        <w:tc>
          <w:tcPr>
            <w:tcW w:w="2142" w:type="dxa"/>
            <w:tcBorders>
              <w:top w:val="single" w:sz="6" w:space="0" w:color="000000"/>
              <w:left w:val="single" w:sz="6" w:space="0" w:color="000000"/>
              <w:bottom w:val="single" w:sz="6" w:space="0" w:color="000000"/>
              <w:right w:val="single" w:sz="6" w:space="0" w:color="000000"/>
            </w:tcBorders>
            <w:vAlign w:val="center"/>
          </w:tcPr>
          <w:p w14:paraId="359E598F"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16DE9419"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8D0C68" w14:paraId="7FD38CC1" w14:textId="7777777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192CCE29" w14:textId="77777777" w:rsidR="008D0C68" w:rsidRDefault="008D0C68">
            <w:pPr>
              <w:widowControl w:val="0"/>
              <w:autoSpaceDE w:val="0"/>
              <w:autoSpaceDN w:val="0"/>
              <w:adjustRightInd w:val="0"/>
              <w:spacing w:before="90" w:after="90" w:line="240" w:lineRule="auto"/>
              <w:ind w:left="45" w:right="45"/>
              <w:rPr>
                <w:rFonts w:ascii="Arial" w:hAnsi="Arial" w:cs="Arial"/>
              </w:rPr>
            </w:pPr>
            <w:r>
              <w:rPr>
                <w:rFonts w:ascii="Arial" w:hAnsi="Arial" w:cs="Arial"/>
              </w:rPr>
              <w:t>Cell wall</w:t>
            </w:r>
          </w:p>
        </w:tc>
        <w:tc>
          <w:tcPr>
            <w:tcW w:w="2142" w:type="dxa"/>
            <w:tcBorders>
              <w:top w:val="single" w:sz="6" w:space="0" w:color="000000"/>
              <w:left w:val="single" w:sz="6" w:space="0" w:color="000000"/>
              <w:bottom w:val="single" w:sz="6" w:space="0" w:color="000000"/>
              <w:right w:val="single" w:sz="6" w:space="0" w:color="000000"/>
            </w:tcBorders>
            <w:vAlign w:val="center"/>
          </w:tcPr>
          <w:p w14:paraId="66EDC419"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4A88DEAE"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8D0C68" w14:paraId="6C229FF7" w14:textId="7777777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71CBB641" w14:textId="77777777" w:rsidR="008D0C68" w:rsidRDefault="008D0C68">
            <w:pPr>
              <w:widowControl w:val="0"/>
              <w:autoSpaceDE w:val="0"/>
              <w:autoSpaceDN w:val="0"/>
              <w:adjustRightInd w:val="0"/>
              <w:spacing w:before="90" w:after="90" w:line="240" w:lineRule="auto"/>
              <w:ind w:left="45" w:right="45"/>
              <w:rPr>
                <w:rFonts w:ascii="Arial" w:hAnsi="Arial" w:cs="Arial"/>
              </w:rPr>
            </w:pPr>
            <w:r>
              <w:rPr>
                <w:rFonts w:ascii="Arial" w:hAnsi="Arial" w:cs="Arial"/>
              </w:rPr>
              <w:t>Enzyme molecules</w:t>
            </w:r>
          </w:p>
        </w:tc>
        <w:tc>
          <w:tcPr>
            <w:tcW w:w="2142" w:type="dxa"/>
            <w:tcBorders>
              <w:top w:val="single" w:sz="6" w:space="0" w:color="000000"/>
              <w:left w:val="single" w:sz="6" w:space="0" w:color="000000"/>
              <w:bottom w:val="single" w:sz="6" w:space="0" w:color="000000"/>
              <w:right w:val="single" w:sz="6" w:space="0" w:color="000000"/>
            </w:tcBorders>
            <w:vAlign w:val="center"/>
          </w:tcPr>
          <w:p w14:paraId="2F1BDC6B"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5AE3B1A3"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r w:rsidR="008D0C68" w14:paraId="370CFDB0" w14:textId="77777777">
        <w:tblPrEx>
          <w:tblCellMar>
            <w:top w:w="0" w:type="dxa"/>
            <w:bottom w:w="0" w:type="dxa"/>
          </w:tblCellMar>
        </w:tblPrEx>
        <w:tc>
          <w:tcPr>
            <w:tcW w:w="2142" w:type="dxa"/>
            <w:tcBorders>
              <w:top w:val="single" w:sz="6" w:space="0" w:color="000000"/>
              <w:left w:val="single" w:sz="6" w:space="0" w:color="000000"/>
              <w:bottom w:val="single" w:sz="6" w:space="0" w:color="000000"/>
              <w:right w:val="single" w:sz="6" w:space="0" w:color="000000"/>
            </w:tcBorders>
            <w:vAlign w:val="center"/>
          </w:tcPr>
          <w:p w14:paraId="075FBA33" w14:textId="77777777" w:rsidR="008D0C68" w:rsidRDefault="008D0C68">
            <w:pPr>
              <w:widowControl w:val="0"/>
              <w:autoSpaceDE w:val="0"/>
              <w:autoSpaceDN w:val="0"/>
              <w:adjustRightInd w:val="0"/>
              <w:spacing w:before="90" w:after="90" w:line="240" w:lineRule="auto"/>
              <w:ind w:left="45" w:right="45"/>
              <w:rPr>
                <w:rFonts w:ascii="Arial" w:hAnsi="Arial" w:cs="Arial"/>
              </w:rPr>
            </w:pPr>
            <w:r>
              <w:rPr>
                <w:rFonts w:ascii="Arial" w:hAnsi="Arial" w:cs="Arial"/>
              </w:rPr>
              <w:t>Capsid</w:t>
            </w:r>
          </w:p>
        </w:tc>
        <w:tc>
          <w:tcPr>
            <w:tcW w:w="2142" w:type="dxa"/>
            <w:tcBorders>
              <w:top w:val="single" w:sz="6" w:space="0" w:color="000000"/>
              <w:left w:val="single" w:sz="6" w:space="0" w:color="000000"/>
              <w:bottom w:val="single" w:sz="6" w:space="0" w:color="000000"/>
              <w:right w:val="single" w:sz="6" w:space="0" w:color="000000"/>
            </w:tcBorders>
            <w:vAlign w:val="center"/>
          </w:tcPr>
          <w:p w14:paraId="7E76E68E"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c>
          <w:tcPr>
            <w:tcW w:w="2142" w:type="dxa"/>
            <w:tcBorders>
              <w:top w:val="single" w:sz="6" w:space="0" w:color="000000"/>
              <w:left w:val="single" w:sz="6" w:space="0" w:color="000000"/>
              <w:bottom w:val="single" w:sz="6" w:space="0" w:color="000000"/>
              <w:right w:val="single" w:sz="6" w:space="0" w:color="000000"/>
            </w:tcBorders>
            <w:vAlign w:val="center"/>
          </w:tcPr>
          <w:p w14:paraId="3277BFFC" w14:textId="77777777" w:rsidR="008D0C68" w:rsidRDefault="008D0C68">
            <w:pPr>
              <w:widowControl w:val="0"/>
              <w:autoSpaceDE w:val="0"/>
              <w:autoSpaceDN w:val="0"/>
              <w:adjustRightInd w:val="0"/>
              <w:spacing w:before="90" w:after="90" w:line="240" w:lineRule="auto"/>
              <w:ind w:left="45" w:right="45"/>
              <w:jc w:val="center"/>
              <w:rPr>
                <w:rFonts w:ascii="Arial" w:hAnsi="Arial" w:cs="Arial"/>
                <w:b/>
                <w:bCs/>
              </w:rPr>
            </w:pPr>
            <w:r>
              <w:rPr>
                <w:rFonts w:ascii="Arial" w:hAnsi="Arial" w:cs="Arial"/>
                <w:b/>
                <w:bCs/>
              </w:rPr>
              <w:t> </w:t>
            </w:r>
          </w:p>
        </w:tc>
      </w:tr>
    </w:tbl>
    <w:p w14:paraId="086D2C4C"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F490D8A"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When HIV infects a human cell, the following events occur.</w:t>
      </w:r>
    </w:p>
    <w:p w14:paraId="10994E3D" w14:textId="77777777" w:rsidR="008D0C68" w:rsidRDefault="008D0C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A single-stranded length of HIV DNA is made.</w:t>
      </w:r>
    </w:p>
    <w:p w14:paraId="645B2B3C" w14:textId="77777777" w:rsidR="008D0C68" w:rsidRDefault="008D0C68">
      <w:pPr>
        <w:widowControl w:val="0"/>
        <w:autoSpaceDE w:val="0"/>
        <w:autoSpaceDN w:val="0"/>
        <w:adjustRightInd w:val="0"/>
        <w:spacing w:after="0" w:line="240" w:lineRule="auto"/>
        <w:ind w:left="1701" w:right="567" w:hanging="567"/>
        <w:rPr>
          <w:rFonts w:ascii="Arial" w:hAnsi="Arial" w:cs="Arial"/>
        </w:rPr>
      </w:pPr>
      <w:r>
        <w:rPr>
          <w:rFonts w:ascii="Arial" w:hAnsi="Arial" w:cs="Arial"/>
        </w:rPr>
        <w:t>•        The human cell then makes a complementary strand to the HIV DNA.</w:t>
      </w:r>
    </w:p>
    <w:p w14:paraId="18969C0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The complementary strand is made in the same way as a new complementary strand is made during semi-conservative replication of human DNA.</w:t>
      </w:r>
    </w:p>
    <w:p w14:paraId="64EC7C5A"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the complementary strand of HIV DNA is made.</w:t>
      </w:r>
    </w:p>
    <w:p w14:paraId="5F6B714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E639F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4A8BE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E5E839"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0A9B3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F24669"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5183D60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B79B7F"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D52AC2"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3D6233A"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Contrast the structures of DNA and mRNA molecules to give </w:t>
      </w:r>
      <w:r>
        <w:rPr>
          <w:rFonts w:ascii="Arial" w:hAnsi="Arial" w:cs="Arial"/>
          <w:b/>
          <w:bCs/>
        </w:rPr>
        <w:t>three</w:t>
      </w:r>
      <w:r>
        <w:rPr>
          <w:rFonts w:ascii="Arial" w:hAnsi="Arial" w:cs="Arial"/>
        </w:rPr>
        <w:t xml:space="preserve"> differences.</w:t>
      </w:r>
    </w:p>
    <w:p w14:paraId="09123E3E"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1BEA7FA8"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300D2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476333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597A3D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4575474C"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3D006E"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246634A" w14:textId="77777777" w:rsidR="008D0C68" w:rsidRDefault="008D0C6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Q3.</w:t>
      </w:r>
    </w:p>
    <w:p w14:paraId="015BD3DF" w14:textId="77777777" w:rsidR="008D0C68" w:rsidRDefault="008D0C68">
      <w:pPr>
        <w:widowControl w:val="0"/>
        <w:autoSpaceDE w:val="0"/>
        <w:autoSpaceDN w:val="0"/>
        <w:adjustRightInd w:val="0"/>
        <w:spacing w:after="0" w:line="240" w:lineRule="auto"/>
        <w:ind w:left="1134" w:right="567" w:hanging="567"/>
        <w:rPr>
          <w:rFonts w:ascii="Arial" w:hAnsi="Arial" w:cs="Arial"/>
        </w:rPr>
      </w:pPr>
      <w:r>
        <w:rPr>
          <w:rFonts w:ascii="Arial" w:hAnsi="Arial" w:cs="Arial"/>
        </w:rPr>
        <w:t>(a)     Human papilloma virus (HPV) is the main cause of cervical cancer. A vaccine has been developed to protect girls and women from HPV.</w:t>
      </w:r>
    </w:p>
    <w:p w14:paraId="3ADBB82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Describe how giving this vaccine leads to production of antibody against HPV.</w:t>
      </w:r>
    </w:p>
    <w:p w14:paraId="1A34751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7D4FF1"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70C72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955E58"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50FF6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62FD6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A0B408"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277FA8"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59275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46661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C6FFAF"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604B9E0F"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4FFB9C36"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02A499A4"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7FA6C9C5"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3C977651"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Doctors investigated whether it was better to give two or three doses of the HPV vaccine. They determined the mean concentration of antibody against HPV in blood samples from girls who were given either two or three doses of the vaccine.</w:t>
      </w:r>
    </w:p>
    <w:p w14:paraId="19A2D3A0" w14:textId="77777777" w:rsidR="008D0C68" w:rsidRDefault="008D0C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Girls given two doses received an initial vaccination, followed by a second at 6 months.</w:t>
      </w:r>
    </w:p>
    <w:p w14:paraId="169D5E92" w14:textId="77777777" w:rsidR="008D0C68" w:rsidRDefault="008D0C68">
      <w:pPr>
        <w:widowControl w:val="0"/>
        <w:autoSpaceDE w:val="0"/>
        <w:autoSpaceDN w:val="0"/>
        <w:adjustRightInd w:val="0"/>
        <w:spacing w:after="0" w:line="240" w:lineRule="auto"/>
        <w:ind w:left="1701" w:right="567" w:hanging="567"/>
        <w:rPr>
          <w:rFonts w:ascii="Arial" w:hAnsi="Arial" w:cs="Arial"/>
        </w:rPr>
      </w:pPr>
      <w:r>
        <w:rPr>
          <w:rFonts w:ascii="Arial" w:hAnsi="Arial" w:cs="Arial"/>
        </w:rPr>
        <w:t>•        Girls given three doses received an initial vaccination, followed by a second at 1 month and a third at 6 months.</w:t>
      </w:r>
    </w:p>
    <w:p w14:paraId="2E41B86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The doctors measured the concentration of antibody each month.</w:t>
      </w:r>
    </w:p>
    <w:p w14:paraId="2A4CAF3F"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The results are shown below.</w:t>
      </w:r>
    </w:p>
    <w:p w14:paraId="5AEBDD9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pict w14:anchorId="0868D7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7pt;height:221pt">
            <v:imagedata r:id="rId7" o:title=""/>
          </v:shape>
        </w:pict>
      </w:r>
      <w:r>
        <w:rPr>
          <w:rFonts w:ascii="Arial" w:hAnsi="Arial" w:cs="Arial"/>
        </w:rPr>
        <w:t> </w:t>
      </w:r>
    </w:p>
    <w:p w14:paraId="25A03A81"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What do these results suggest about whether it is better to give two or three doses of the vaccine? Give reasons for your answer.</w:t>
      </w:r>
    </w:p>
    <w:p w14:paraId="0EF1222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B73FD4"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187AD0"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2C4C64"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7B4F1A"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9669D2"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A665ACF"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The doctors carried out a statistical test to determine whether the antibody concentrations were significantly different in girls given two doses of the vaccine, compared with those given three doses. They determined the mean concentrations of antibody 9 months after the first dose of vaccine.</w:t>
      </w:r>
    </w:p>
    <w:p w14:paraId="13B66F8C"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What statistical test should the doctors have used? Give the reason for your choice.</w:t>
      </w:r>
    </w:p>
    <w:p w14:paraId="58E2181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Test _______________________________________________________________</w:t>
      </w:r>
    </w:p>
    <w:p w14:paraId="74C3EA99"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Reason ____________________________________________________________</w:t>
      </w:r>
    </w:p>
    <w:p w14:paraId="1B0BD629" w14:textId="77777777" w:rsidR="008D0C68" w:rsidRPr="00296AE1" w:rsidRDefault="008D0C68"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b/>
          <w:bCs/>
          <w:sz w:val="20"/>
          <w:szCs w:val="20"/>
        </w:rPr>
        <w:t>(1)</w:t>
      </w:r>
    </w:p>
    <w:p w14:paraId="3023AFFF"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(d)     There is genetic diversity within HPV.</w:t>
      </w:r>
    </w:p>
    <w:p w14:paraId="64239FF4"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ways doctors could use base sequences to compare different types of HPV.</w:t>
      </w:r>
    </w:p>
    <w:p w14:paraId="45BC3712"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609988C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22037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1CEB50F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8D9C5A"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5B3D7E6" w14:textId="77777777" w:rsidR="008D0C68" w:rsidRDefault="008D0C6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Q4.</w:t>
      </w:r>
    </w:p>
    <w:tbl>
      <w:tblPr>
        <w:tblW w:w="0" w:type="auto"/>
        <w:tblInd w:w="585" w:type="dxa"/>
        <w:tblLayout w:type="fixed"/>
        <w:tblCellMar>
          <w:left w:w="15" w:type="dxa"/>
          <w:right w:w="15" w:type="dxa"/>
        </w:tblCellMar>
        <w:tblLook w:val="0000" w:firstRow="0" w:lastRow="0" w:firstColumn="0" w:lastColumn="0" w:noHBand="0" w:noVBand="0"/>
      </w:tblPr>
      <w:tblGrid>
        <w:gridCol w:w="7920"/>
        <w:gridCol w:w="612"/>
      </w:tblGrid>
      <w:tr w:rsidR="008D0C68" w14:paraId="72FBECC5" w14:textId="77777777">
        <w:tblPrEx>
          <w:tblCellMar>
            <w:top w:w="0" w:type="dxa"/>
            <w:bottom w:w="0" w:type="dxa"/>
          </w:tblCellMar>
        </w:tblPrEx>
        <w:tc>
          <w:tcPr>
            <w:tcW w:w="7920" w:type="dxa"/>
            <w:tcBorders>
              <w:top w:val="nil"/>
              <w:left w:val="nil"/>
              <w:bottom w:val="nil"/>
              <w:right w:val="nil"/>
            </w:tcBorders>
          </w:tcPr>
          <w:p w14:paraId="0F6E7D08" w14:textId="77777777" w:rsidR="008D0C68" w:rsidRDefault="008D0C68">
            <w:pPr>
              <w:widowControl w:val="0"/>
              <w:autoSpaceDE w:val="0"/>
              <w:autoSpaceDN w:val="0"/>
              <w:adjustRightInd w:val="0"/>
              <w:spacing w:before="90" w:after="90" w:line="240" w:lineRule="auto"/>
              <w:ind w:left="45" w:right="45"/>
              <w:rPr>
                <w:rFonts w:ascii="Arial" w:hAnsi="Arial" w:cs="Arial"/>
              </w:rPr>
            </w:pPr>
            <w:r>
              <w:rPr>
                <w:rFonts w:ascii="Arial" w:hAnsi="Arial" w:cs="Arial"/>
              </w:rPr>
              <w:t>Ebola is a disease caused by a virus. The Ebola virus has a glycoprotein on its surface</w:t>
            </w:r>
            <w:r>
              <w:rPr>
                <w:rFonts w:ascii="Arial" w:hAnsi="Arial" w:cs="Arial"/>
              </w:rPr>
              <w:br/>
              <w:t>which binds to a specific receptor protein in the cell-surface membranes of human cells.</w:t>
            </w:r>
            <w:r>
              <w:rPr>
                <w:rFonts w:ascii="Arial" w:hAnsi="Arial" w:cs="Arial"/>
              </w:rPr>
              <w:br/>
              <w:t>When it binds to this receptor protein, the virus can enter the cell. Some people do not</w:t>
            </w:r>
            <w:r>
              <w:rPr>
                <w:rFonts w:ascii="Arial" w:hAnsi="Arial" w:cs="Arial"/>
              </w:rPr>
              <w:br/>
              <w:t>produce this receptor protein. These people may become infected with the Ebola virus</w:t>
            </w:r>
            <w:r>
              <w:rPr>
                <w:rFonts w:ascii="Arial" w:hAnsi="Arial" w:cs="Arial"/>
              </w:rPr>
              <w:br/>
              <w:t>but do not develop the disease.</w:t>
            </w:r>
            <w:r>
              <w:rPr>
                <w:rFonts w:ascii="Arial" w:hAnsi="Arial" w:cs="Arial"/>
              </w:rPr>
              <w:br/>
            </w:r>
            <w:r>
              <w:rPr>
                <w:rFonts w:ascii="Arial" w:hAnsi="Arial" w:cs="Arial"/>
              </w:rPr>
              <w:br/>
              <w:t>A blood test can be used to determine whether a person has Ebola. People with Ebola</w:t>
            </w:r>
            <w:r>
              <w:rPr>
                <w:rFonts w:ascii="Arial" w:hAnsi="Arial" w:cs="Arial"/>
              </w:rPr>
              <w:br/>
              <w:t>have large numbers of specific plasma cells and a specific antibody in their blood.</w:t>
            </w:r>
            <w:r>
              <w:rPr>
                <w:rFonts w:ascii="Arial" w:hAnsi="Arial" w:cs="Arial"/>
              </w:rPr>
              <w:br/>
              <w:t>Some scientists have suggested treating people suffering from Ebola by using</w:t>
            </w:r>
            <w:r>
              <w:rPr>
                <w:rFonts w:ascii="Arial" w:hAnsi="Arial" w:cs="Arial"/>
              </w:rPr>
              <w:br/>
              <w:t>transfusions of blood plasma from people who have recently recovered from the</w:t>
            </w:r>
            <w:r>
              <w:rPr>
                <w:rFonts w:ascii="Arial" w:hAnsi="Arial" w:cs="Arial"/>
              </w:rPr>
              <w:br/>
              <w:t>disease.</w:t>
            </w:r>
          </w:p>
        </w:tc>
        <w:tc>
          <w:tcPr>
            <w:tcW w:w="612" w:type="dxa"/>
            <w:tcBorders>
              <w:top w:val="nil"/>
              <w:left w:val="nil"/>
              <w:bottom w:val="nil"/>
              <w:right w:val="nil"/>
            </w:tcBorders>
          </w:tcPr>
          <w:p w14:paraId="1CBF53BB" w14:textId="77777777" w:rsidR="008D0C68" w:rsidRDefault="008D0C68">
            <w:pPr>
              <w:widowControl w:val="0"/>
              <w:autoSpaceDE w:val="0"/>
              <w:autoSpaceDN w:val="0"/>
              <w:adjustRightInd w:val="0"/>
              <w:spacing w:before="90" w:after="90" w:line="240" w:lineRule="auto"/>
              <w:ind w:left="45" w:right="45"/>
              <w:rPr>
                <w:rFonts w:ascii="Arial" w:hAnsi="Arial" w:cs="Arial"/>
              </w:rPr>
            </w:pPr>
            <w:r>
              <w:rPr>
                <w:rFonts w:ascii="Arial" w:hAnsi="Arial" w:cs="Arial"/>
              </w:rPr>
              <w:br/>
              <w:t> </w:t>
            </w:r>
            <w:r>
              <w:rPr>
                <w:rFonts w:ascii="Arial" w:hAnsi="Arial" w:cs="Arial"/>
              </w:rPr>
              <w:br/>
              <w:t> </w:t>
            </w:r>
            <w:r>
              <w:rPr>
                <w:rFonts w:ascii="Arial" w:hAnsi="Arial" w:cs="Arial"/>
              </w:rPr>
              <w:br/>
              <w:t> </w:t>
            </w:r>
            <w:r>
              <w:rPr>
                <w:rFonts w:ascii="Arial" w:hAnsi="Arial" w:cs="Arial"/>
              </w:rPr>
              <w:br/>
              <w:t>5</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10</w:t>
            </w:r>
          </w:p>
        </w:tc>
      </w:tr>
    </w:tbl>
    <w:p w14:paraId="45B7387A" w14:textId="77777777" w:rsidR="008D0C68" w:rsidRDefault="008D0C68">
      <w:pPr>
        <w:widowControl w:val="0"/>
        <w:autoSpaceDE w:val="0"/>
        <w:autoSpaceDN w:val="0"/>
        <w:adjustRightInd w:val="0"/>
        <w:spacing w:before="240" w:after="0" w:line="240" w:lineRule="auto"/>
        <w:ind w:left="567" w:right="567"/>
        <w:rPr>
          <w:rFonts w:ascii="Arial" w:hAnsi="Arial" w:cs="Arial"/>
        </w:rPr>
      </w:pPr>
      <w:r>
        <w:rPr>
          <w:rFonts w:ascii="Arial" w:hAnsi="Arial" w:cs="Arial"/>
        </w:rPr>
        <w:t>The Ebola virus has a high mutation rate. This makes it difficult to develop a vaccine.</w:t>
      </w:r>
    </w:p>
    <w:p w14:paraId="20FE845A"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People who do not have the specific receptor protein in their cell-surface membranes may be infected with the Ebola virus but do not develop the disease (lines 1–5).</w:t>
      </w:r>
    </w:p>
    <w:p w14:paraId="5F2836FA"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Explain why they do </w:t>
      </w:r>
      <w:r>
        <w:rPr>
          <w:rFonts w:ascii="Arial" w:hAnsi="Arial" w:cs="Arial"/>
          <w:b/>
          <w:bCs/>
        </w:rPr>
        <w:t>not</w:t>
      </w:r>
      <w:r>
        <w:rPr>
          <w:rFonts w:ascii="Arial" w:hAnsi="Arial" w:cs="Arial"/>
        </w:rPr>
        <w:t xml:space="preserve"> develop the disease.</w:t>
      </w:r>
    </w:p>
    <w:p w14:paraId="24D1FD3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EB41F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4EF35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DAB43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415B42"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56B750"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5C344B7"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6F2FF359"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1D97997E" w14:textId="77777777" w:rsidR="00296AE1" w:rsidRDefault="00296AE1">
      <w:pPr>
        <w:widowControl w:val="0"/>
        <w:autoSpaceDE w:val="0"/>
        <w:autoSpaceDN w:val="0"/>
        <w:adjustRightInd w:val="0"/>
        <w:spacing w:before="240" w:after="0" w:line="240" w:lineRule="auto"/>
        <w:ind w:left="1134" w:right="567" w:hanging="567"/>
        <w:rPr>
          <w:rFonts w:ascii="Arial" w:hAnsi="Arial" w:cs="Arial"/>
        </w:rPr>
      </w:pPr>
    </w:p>
    <w:p w14:paraId="5BE82980"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Explain the increase in specific plasma cells and antibody in people infected with the Ebola virus.</w:t>
      </w:r>
    </w:p>
    <w:p w14:paraId="748CEC3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4ED63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7CECE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990321"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19DF1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8FF727"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1097ACC"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Explain how a blood transfusion from a patient recently recovered from Ebola may be an effective treatment (lines 8–10).</w:t>
      </w:r>
    </w:p>
    <w:p w14:paraId="63B89FA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D29933"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4C074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C103A4"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B58F5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497BA9"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19E7E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E3274B"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674B14"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8B80825"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1D5107"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ABA4E5D"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A high mutation rate makes it difficult to develop a vaccine (line 11).</w:t>
      </w:r>
    </w:p>
    <w:p w14:paraId="485D10F0" w14:textId="77777777" w:rsidR="008D0C68" w:rsidRDefault="008D0C68">
      <w:pPr>
        <w:widowControl w:val="0"/>
        <w:autoSpaceDE w:val="0"/>
        <w:autoSpaceDN w:val="0"/>
        <w:adjustRightInd w:val="0"/>
        <w:spacing w:after="0" w:line="240" w:lineRule="auto"/>
        <w:ind w:left="1134" w:right="567"/>
        <w:rPr>
          <w:rFonts w:ascii="Arial" w:hAnsi="Arial" w:cs="Arial"/>
        </w:rPr>
      </w:pPr>
      <w:r>
        <w:rPr>
          <w:rFonts w:ascii="Arial" w:hAnsi="Arial" w:cs="Arial"/>
        </w:rPr>
        <w:t>Explain why.</w:t>
      </w:r>
    </w:p>
    <w:p w14:paraId="355FA825"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C26EEE"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2671F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EF9C00"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40827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DA009A"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55C0A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CD978C"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3BA282" w14:textId="77777777" w:rsidR="008D0C68" w:rsidRDefault="008D0C68" w:rsidP="00296AE1">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___________________________________________________________________</w:t>
      </w:r>
      <w:r>
        <w:rPr>
          <w:rFonts w:ascii="Arial" w:hAnsi="Arial" w:cs="Arial"/>
          <w:b/>
          <w:bCs/>
          <w:sz w:val="20"/>
          <w:szCs w:val="20"/>
        </w:rPr>
        <w:t>(3)</w:t>
      </w:r>
    </w:p>
    <w:p w14:paraId="16D64E77" w14:textId="77777777" w:rsidR="008D0C68" w:rsidRDefault="008D0C68">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Q5.</w:t>
      </w:r>
    </w:p>
    <w:p w14:paraId="368CDAD0" w14:textId="77777777" w:rsidR="008D0C68" w:rsidRDefault="008D0C68">
      <w:pPr>
        <w:widowControl w:val="0"/>
        <w:autoSpaceDE w:val="0"/>
        <w:autoSpaceDN w:val="0"/>
        <w:adjustRightInd w:val="0"/>
        <w:spacing w:after="0" w:line="240" w:lineRule="auto"/>
        <w:ind w:left="567" w:right="567"/>
        <w:rPr>
          <w:rFonts w:ascii="Arial" w:hAnsi="Arial" w:cs="Arial"/>
        </w:rPr>
      </w:pPr>
      <w:r>
        <w:rPr>
          <w:rFonts w:ascii="Arial" w:hAnsi="Arial" w:cs="Arial"/>
        </w:rPr>
        <w:t>The diagram shows the human immunodeficiency virus (HIV).</w:t>
      </w:r>
    </w:p>
    <w:p w14:paraId="54B31E26" w14:textId="77777777" w:rsidR="008D0C68" w:rsidRDefault="008D0C68">
      <w:pPr>
        <w:widowControl w:val="0"/>
        <w:autoSpaceDE w:val="0"/>
        <w:autoSpaceDN w:val="0"/>
        <w:adjustRightInd w:val="0"/>
        <w:spacing w:before="240" w:after="0" w:line="240" w:lineRule="auto"/>
        <w:ind w:left="2268" w:right="567" w:hanging="283"/>
        <w:rPr>
          <w:rFonts w:ascii="Arial" w:hAnsi="Arial" w:cs="Arial"/>
        </w:rPr>
      </w:pPr>
      <w:r>
        <w:rPr>
          <w:rFonts w:ascii="Arial" w:hAnsi="Arial" w:cs="Arial"/>
        </w:rPr>
        <w:pict w14:anchorId="392095D5">
          <v:shape id="_x0000_i1026" type="#_x0000_t75" style="width:146pt;height:133pt">
            <v:imagedata r:id="rId8" o:title=""/>
          </v:shape>
        </w:pict>
      </w:r>
      <w:r>
        <w:rPr>
          <w:rFonts w:ascii="Arial" w:hAnsi="Arial" w:cs="Arial"/>
        </w:rPr>
        <w:t> </w:t>
      </w:r>
    </w:p>
    <w:p w14:paraId="769887AB"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Name</w:t>
      </w:r>
    </w:p>
    <w:p w14:paraId="5499B29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 xml:space="preserve">A </w:t>
      </w:r>
      <w:r>
        <w:rPr>
          <w:rFonts w:ascii="Arial" w:hAnsi="Arial" w:cs="Arial"/>
        </w:rPr>
        <w:t>______________________________________________________________</w:t>
      </w:r>
    </w:p>
    <w:p w14:paraId="27653448"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 xml:space="preserve">B </w:t>
      </w:r>
      <w:r>
        <w:rPr>
          <w:rFonts w:ascii="Arial" w:hAnsi="Arial" w:cs="Arial"/>
        </w:rPr>
        <w:t>______________________________________________________________</w:t>
      </w:r>
    </w:p>
    <w:p w14:paraId="7093776F"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459CFE3" w14:textId="77777777" w:rsidR="008D0C68" w:rsidRDefault="008D0C68">
      <w:pPr>
        <w:widowControl w:val="0"/>
        <w:autoSpaceDE w:val="0"/>
        <w:autoSpaceDN w:val="0"/>
        <w:adjustRightInd w:val="0"/>
        <w:spacing w:before="240" w:after="0" w:line="240" w:lineRule="auto"/>
        <w:ind w:left="567" w:right="567"/>
        <w:rPr>
          <w:rFonts w:ascii="Arial" w:hAnsi="Arial" w:cs="Arial"/>
        </w:rPr>
      </w:pPr>
      <w:r>
        <w:rPr>
          <w:rFonts w:ascii="Arial" w:hAnsi="Arial" w:cs="Arial"/>
        </w:rPr>
        <w:t>The graph shows changes in the number of T-cells and HIV particles in the blood of a person following infection.</w:t>
      </w:r>
    </w:p>
    <w:p w14:paraId="64892D53" w14:textId="77777777" w:rsidR="008D0C68" w:rsidRDefault="008D0C68">
      <w:pPr>
        <w:widowControl w:val="0"/>
        <w:autoSpaceDE w:val="0"/>
        <w:autoSpaceDN w:val="0"/>
        <w:adjustRightInd w:val="0"/>
        <w:spacing w:before="240" w:after="0" w:line="240" w:lineRule="auto"/>
        <w:ind w:left="2268" w:right="567" w:hanging="567"/>
        <w:rPr>
          <w:rFonts w:ascii="Arial" w:hAnsi="Arial" w:cs="Arial"/>
        </w:rPr>
      </w:pPr>
      <w:r>
        <w:rPr>
          <w:rFonts w:ascii="Arial" w:hAnsi="Arial" w:cs="Arial"/>
        </w:rPr>
        <w:pict w14:anchorId="3220CCAB">
          <v:shape id="_x0000_i1027" type="#_x0000_t75" style="width:316pt;height:231pt">
            <v:imagedata r:id="rId9" o:title=""/>
          </v:shape>
        </w:pict>
      </w:r>
      <w:r>
        <w:rPr>
          <w:rFonts w:ascii="Arial" w:hAnsi="Arial" w:cs="Arial"/>
        </w:rPr>
        <w:t> </w:t>
      </w:r>
    </w:p>
    <w:p w14:paraId="7D9CBEA3"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Explain why the number of HIV particles in the blood</w:t>
      </w:r>
    </w:p>
    <w:p w14:paraId="014A6C3A" w14:textId="77777777" w:rsidR="008D0C68" w:rsidRDefault="008D0C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rises during the first few months after infection</w:t>
      </w:r>
    </w:p>
    <w:p w14:paraId="1F26AE09" w14:textId="77777777" w:rsidR="008D0C68" w:rsidRDefault="008D0C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9EF5541" w14:textId="77777777" w:rsidR="008D0C68" w:rsidRDefault="008D0C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DA6769D" w14:textId="77777777" w:rsidR="008D0C68" w:rsidRDefault="008D0C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6215EFB" w14:textId="77777777" w:rsidR="008D0C68" w:rsidRDefault="008D0C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945A198"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F5518F6" w14:textId="77777777" w:rsidR="008D0C68" w:rsidRDefault="008D0C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remains low between 1 and 7 years after infection.</w:t>
      </w:r>
    </w:p>
    <w:p w14:paraId="5EAB7FEA" w14:textId="77777777" w:rsidR="008D0C68" w:rsidRDefault="008D0C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4571915" w14:textId="77777777" w:rsidR="008D0C68" w:rsidRDefault="008D0C68">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6A3C1B"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290ACDB" w14:textId="77777777" w:rsidR="008D0C68" w:rsidRDefault="008D0C6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This person developed a large number of infections about 9 years after he first became infected with HIV. Using information from the graph, explain why.</w:t>
      </w:r>
    </w:p>
    <w:p w14:paraId="23440741"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D71D3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8856DD"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79499A"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0999BF"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5C1784"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FF08C7"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800B4B9"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2215C4" w14:textId="77777777" w:rsidR="008D0C68" w:rsidRDefault="008D0C6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i/>
          <w:iCs/>
        </w:rPr>
        <w:t xml:space="preserve">(Extra space) </w:t>
      </w:r>
      <w:r>
        <w:rPr>
          <w:rFonts w:ascii="Arial" w:hAnsi="Arial" w:cs="Arial"/>
        </w:rPr>
        <w:t>________________________________________________________</w:t>
      </w:r>
    </w:p>
    <w:p w14:paraId="0CA9E41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9FD856"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3B4BDC" w14:textId="77777777" w:rsidR="008D0C68" w:rsidRDefault="008D0C6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CDA1110" w14:textId="77777777" w:rsidR="008D0C68" w:rsidRDefault="008D0C6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14CD59FF" w14:textId="77777777" w:rsidR="00296AE1" w:rsidRDefault="00296AE1" w:rsidP="00296AE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Q6.</w:t>
      </w:r>
    </w:p>
    <w:p w14:paraId="2502548B" w14:textId="77777777" w:rsidR="00296AE1" w:rsidRDefault="00296AE1" w:rsidP="00296AE1">
      <w:pPr>
        <w:widowControl w:val="0"/>
        <w:autoSpaceDE w:val="0"/>
        <w:autoSpaceDN w:val="0"/>
        <w:adjustRightInd w:val="0"/>
        <w:spacing w:after="0" w:line="240" w:lineRule="auto"/>
        <w:ind w:left="1134" w:right="567" w:hanging="567"/>
        <w:rPr>
          <w:rFonts w:ascii="Arial" w:hAnsi="Arial" w:cs="Arial"/>
        </w:rPr>
      </w:pPr>
      <w:r>
        <w:rPr>
          <w:rFonts w:ascii="Arial" w:hAnsi="Arial" w:cs="Arial"/>
        </w:rPr>
        <w:t>(a)     NMO is a disease that leads to damage to nerve cells in the spinal cord.</w:t>
      </w:r>
    </w:p>
    <w:p w14:paraId="65722838" w14:textId="77777777" w:rsidR="00296AE1" w:rsidRDefault="00296AE1" w:rsidP="00296AE1">
      <w:pPr>
        <w:widowControl w:val="0"/>
        <w:autoSpaceDE w:val="0"/>
        <w:autoSpaceDN w:val="0"/>
        <w:adjustRightInd w:val="0"/>
        <w:spacing w:after="0" w:line="240" w:lineRule="auto"/>
        <w:ind w:left="1134" w:right="567"/>
        <w:rPr>
          <w:rFonts w:ascii="Arial" w:hAnsi="Arial" w:cs="Arial"/>
        </w:rPr>
      </w:pPr>
      <w:r>
        <w:rPr>
          <w:rFonts w:ascii="Arial" w:hAnsi="Arial" w:cs="Arial"/>
        </w:rPr>
        <w:t>A person with NMO produces anti-AQP4 antibody that attacks only these nerve cells.</w:t>
      </w:r>
    </w:p>
    <w:p w14:paraId="677DD05F"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 anti-AQP4 antibody only damages these cells.</w:t>
      </w:r>
    </w:p>
    <w:p w14:paraId="60AFB928"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5F1BE8"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BE6E18"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926E42"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9C7DDF"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9587B6"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8437B2"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5974B1"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DE79A7" w14:textId="77777777" w:rsidR="00296AE1" w:rsidRDefault="00296AE1" w:rsidP="00296AE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12EDBCDC" w14:textId="77777777" w:rsidR="00296AE1" w:rsidRDefault="00296AE1" w:rsidP="00296AE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Scientists measured the concentration of anti-AQP4 antibody in the blood of people with NMO.</w:t>
      </w:r>
    </w:p>
    <w:p w14:paraId="4572F872"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The spinal cord is surrounded by small bones called vertebrae. For each person, the scientists also determined the number of vertebrae surrounding damaged nerve cells.</w:t>
      </w:r>
    </w:p>
    <w:p w14:paraId="66B213EA"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Their results are shown in the graph.</w:t>
      </w:r>
    </w:p>
    <w:p w14:paraId="58B2E46E" w14:textId="77777777" w:rsidR="00296AE1" w:rsidRDefault="00296AE1" w:rsidP="00296AE1">
      <w:pPr>
        <w:widowControl w:val="0"/>
        <w:autoSpaceDE w:val="0"/>
        <w:autoSpaceDN w:val="0"/>
        <w:adjustRightInd w:val="0"/>
        <w:spacing w:before="240" w:after="0" w:line="240" w:lineRule="auto"/>
        <w:jc w:val="center"/>
        <w:rPr>
          <w:rFonts w:ascii="Arial" w:hAnsi="Arial" w:cs="Arial"/>
        </w:rPr>
      </w:pPr>
      <w:r>
        <w:rPr>
          <w:rFonts w:ascii="Arial" w:hAnsi="Arial" w:cs="Arial"/>
        </w:rPr>
        <w:pict w14:anchorId="2F58901E">
          <v:shape id="_x0000_i1028" type="#_x0000_t75" style="width:357pt;height:192pt">
            <v:imagedata r:id="rId10" o:title=""/>
          </v:shape>
        </w:pict>
      </w:r>
      <w:r>
        <w:rPr>
          <w:rFonts w:ascii="Arial" w:hAnsi="Arial" w:cs="Arial"/>
        </w:rPr>
        <w:t> </w:t>
      </w:r>
    </w:p>
    <w:p w14:paraId="61F2236E"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A scientist suggested that the concentration of anti-AQP4 antibody in a person’s blood could be used to predict the number of vertebrae surrounding damaged nerve cells they are likely to have.</w:t>
      </w:r>
    </w:p>
    <w:p w14:paraId="21461A24"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the graph above to suggest reasons why this suggestion might </w:t>
      </w:r>
      <w:r>
        <w:rPr>
          <w:rFonts w:ascii="Arial" w:hAnsi="Arial" w:cs="Arial"/>
          <w:b/>
          <w:bCs/>
        </w:rPr>
        <w:t>not</w:t>
      </w:r>
      <w:r>
        <w:rPr>
          <w:rFonts w:ascii="Arial" w:hAnsi="Arial" w:cs="Arial"/>
        </w:rPr>
        <w:t xml:space="preserve"> be valid.</w:t>
      </w:r>
    </w:p>
    <w:p w14:paraId="19658F21"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30935E"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A9267B3"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A0FCBE"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0CE023"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FF73C2"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08B989"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C29184"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553923" w14:textId="77777777" w:rsidR="00296AE1" w:rsidRDefault="00296AE1" w:rsidP="00296AE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37DD8CB" w14:textId="77777777" w:rsidR="00296AE1" w:rsidRDefault="00296AE1" w:rsidP="00296AE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 new treatment for NMO involves using a monoclonal antibody. The structure of the variable region of this monoclonal antibody is identical to the variable region of an anti-AQP4 antibody, but the rest of its structure is different.</w:t>
      </w:r>
    </w:p>
    <w:p w14:paraId="4DF2BEDC"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this information and your knowledge of antigen-antibody complexes to suggest how this monoclonal antibody prevents anti-AQP4 damaging nerve cells.</w:t>
      </w:r>
    </w:p>
    <w:p w14:paraId="7490D2F6"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FA2DC9"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BB7321"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___________________________________________________________________</w:t>
      </w:r>
    </w:p>
    <w:p w14:paraId="6C3C7D3F"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9DC5EF" w14:textId="77777777" w:rsidR="00296AE1" w:rsidRDefault="00296AE1" w:rsidP="00296AE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 (2)</w:t>
      </w:r>
    </w:p>
    <w:p w14:paraId="2ABF4FE5" w14:textId="77777777" w:rsidR="00296AE1" w:rsidRDefault="00296AE1" w:rsidP="00296AE1">
      <w:pPr>
        <w:widowControl w:val="0"/>
        <w:autoSpaceDE w:val="0"/>
        <w:autoSpaceDN w:val="0"/>
        <w:adjustRightInd w:val="0"/>
        <w:spacing w:before="60" w:after="0" w:line="240" w:lineRule="auto"/>
        <w:rPr>
          <w:rFonts w:ascii="Arial" w:hAnsi="Arial" w:cs="Arial"/>
          <w:b/>
          <w:bCs/>
          <w:sz w:val="20"/>
          <w:szCs w:val="20"/>
        </w:rPr>
      </w:pPr>
    </w:p>
    <w:sectPr w:rsidR="00296AE1" w:rsidSect="00296AE1">
      <w:footerReference w:type="default" r:id="rId11"/>
      <w:pgSz w:w="11907" w:h="16839"/>
      <w:pgMar w:top="850" w:right="567" w:bottom="850" w:left="851"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1874F" w14:textId="77777777" w:rsidR="008D0C68" w:rsidRDefault="008D0C68">
      <w:pPr>
        <w:spacing w:after="0" w:line="240" w:lineRule="auto"/>
      </w:pPr>
      <w:r>
        <w:separator/>
      </w:r>
    </w:p>
  </w:endnote>
  <w:endnote w:type="continuationSeparator" w:id="0">
    <w:p w14:paraId="34941475" w14:textId="77777777" w:rsidR="008D0C68" w:rsidRDefault="008D0C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6EE37" w14:textId="77777777" w:rsidR="008D0C68" w:rsidRDefault="008D0C68">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8A63F3">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8A63F3">
      <w:rPr>
        <w:rFonts w:ascii="Arial" w:hAnsi="Arial" w:cs="Arial"/>
        <w:noProof/>
      </w:rPr>
      <w:t>1</w:t>
    </w:r>
    <w:r>
      <w:rPr>
        <w:rFonts w:ascii="Arial" w:hAnsi="Arial" w:cs="Arial"/>
      </w:rPr>
      <w:fldChar w:fldCharType="end"/>
    </w:r>
  </w:p>
  <w:p w14:paraId="167DACC5" w14:textId="77777777" w:rsidR="008D0C68" w:rsidRDefault="008D0C68">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D9A20" w14:textId="77777777" w:rsidR="008D0C68" w:rsidRDefault="008D0C68">
      <w:pPr>
        <w:spacing w:after="0" w:line="240" w:lineRule="auto"/>
      </w:pPr>
      <w:r>
        <w:separator/>
      </w:r>
    </w:p>
  </w:footnote>
  <w:footnote w:type="continuationSeparator" w:id="0">
    <w:p w14:paraId="1891E9AB" w14:textId="77777777" w:rsidR="008D0C68" w:rsidRDefault="008D0C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8A63F3"/>
    <w:rsid w:val="002137DF"/>
    <w:rsid w:val="00296AE1"/>
    <w:rsid w:val="008A63F3"/>
    <w:rsid w:val="008D0C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5A5C849"/>
  <w14:defaultImageDpi w14:val="0"/>
  <w15:docId w15:val="{237AF0EE-3F0C-4404-BAD3-E954E9565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 w:type="table" w:styleId="TableGrid">
    <w:name w:val="Table Grid"/>
    <w:basedOn w:val="TableNormal"/>
    <w:uiPriority w:val="39"/>
    <w:rsid w:val="008A63F3"/>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958077">
      <w:marLeft w:val="0"/>
      <w:marRight w:val="0"/>
      <w:marTop w:val="0"/>
      <w:marBottom w:val="0"/>
      <w:divBdr>
        <w:top w:val="none" w:sz="0" w:space="0" w:color="auto"/>
        <w:left w:val="none" w:sz="0" w:space="0" w:color="auto"/>
        <w:bottom w:val="none" w:sz="0" w:space="0" w:color="auto"/>
        <w:right w:val="none" w:sz="0" w:space="0" w:color="auto"/>
      </w:divBdr>
    </w:div>
    <w:div w:id="226958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3C4924-3C92-44D0-9F7F-A73124C78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2108</Words>
  <Characters>12020</Characters>
  <Application>Microsoft Office Word</Application>
  <DocSecurity>0</DocSecurity>
  <Lines>100</Lines>
  <Paragraphs>28</Paragraphs>
  <ScaleCrop>false</ScaleCrop>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Created by the \'abHTML to RTF .Net\'bb 5.8.2.9</dc:description>
  <cp:lastModifiedBy>Lauren - Primrose Kitten</cp:lastModifiedBy>
  <cp:revision>2</cp:revision>
  <dcterms:created xsi:type="dcterms:W3CDTF">2023-07-23T07:47:00Z</dcterms:created>
  <dcterms:modified xsi:type="dcterms:W3CDTF">2023-07-23T07:47:00Z</dcterms:modified>
</cp:coreProperties>
</file>