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0F69E" w14:textId="373D34EC" w:rsidR="00E70F7A" w:rsidRDefault="00E86DF2" w:rsidP="00E70F7A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-</w:t>
      </w:r>
      <w:r w:rsidR="00885A6A">
        <w:rPr>
          <w:rFonts w:ascii="Arial" w:hAnsi="Arial" w:cs="Arial"/>
          <w:sz w:val="27"/>
          <w:szCs w:val="27"/>
        </w:rPr>
        <w:t>====</w:t>
      </w:r>
      <w:r w:rsidR="00E70F7A" w:rsidRPr="6CA3F4B1">
        <w:rPr>
          <w:rFonts w:ascii="Arial" w:hAnsi="Arial" w:cs="Arial"/>
          <w:sz w:val="27"/>
          <w:szCs w:val="27"/>
        </w:rPr>
        <w:t xml:space="preserve">  Mark schemes</w:t>
      </w:r>
    </w:p>
    <w:p w14:paraId="3AB1E876" w14:textId="77777777" w:rsidR="00E70F7A" w:rsidRDefault="00E70F7A" w:rsidP="00E70F7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562FC145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1.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 </w:t>
      </w:r>
      <w:r>
        <w:rPr>
          <w:rFonts w:ascii="Arial" w:hAnsi="Arial" w:cs="Arial"/>
        </w:rPr>
        <w:t xml:space="preserve"> Change in (sequence of) amino acid(s)/primary </w:t>
      </w:r>
      <w:proofErr w:type="gramStart"/>
      <w:r>
        <w:rPr>
          <w:rFonts w:ascii="Arial" w:hAnsi="Arial" w:cs="Arial"/>
        </w:rPr>
        <w:t>structure;</w:t>
      </w:r>
      <w:proofErr w:type="gramEnd"/>
    </w:p>
    <w:p w14:paraId="01165C12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amino acids are formed.</w:t>
      </w:r>
    </w:p>
    <w:p w14:paraId="51D6D682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amino acids code.</w:t>
      </w:r>
    </w:p>
    <w:p w14:paraId="39F02D5E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 </w:t>
      </w:r>
      <w:r>
        <w:rPr>
          <w:rFonts w:ascii="Arial" w:hAnsi="Arial" w:cs="Arial"/>
        </w:rPr>
        <w:t> Change in hydrogen/ionic/</w:t>
      </w:r>
      <w:proofErr w:type="spellStart"/>
      <w:r>
        <w:rPr>
          <w:rFonts w:ascii="Arial" w:hAnsi="Arial" w:cs="Arial"/>
        </w:rPr>
        <w:t>disulfide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bonds;</w:t>
      </w:r>
      <w:proofErr w:type="gramEnd"/>
    </w:p>
    <w:p w14:paraId="4E0942EB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 </w:t>
      </w:r>
      <w:r>
        <w:rPr>
          <w:rFonts w:ascii="Arial" w:hAnsi="Arial" w:cs="Arial"/>
        </w:rPr>
        <w:t xml:space="preserve"> Alters </w:t>
      </w:r>
      <w:r>
        <w:rPr>
          <w:rFonts w:ascii="Arial" w:hAnsi="Arial" w:cs="Arial"/>
          <w:u w:val="single"/>
        </w:rPr>
        <w:t>tertiary/3</w:t>
      </w:r>
      <w:r>
        <w:rPr>
          <w:rFonts w:ascii="Arial" w:hAnsi="Arial" w:cs="Arial"/>
          <w:sz w:val="20"/>
          <w:szCs w:val="20"/>
          <w:vertAlign w:val="superscript"/>
        </w:rPr>
        <w:t>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structure;</w:t>
      </w:r>
      <w:proofErr w:type="gramEnd"/>
    </w:p>
    <w:p w14:paraId="54590E0E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active site.</w:t>
      </w:r>
    </w:p>
    <w:p w14:paraId="777D235F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quaternary.</w:t>
      </w:r>
    </w:p>
    <w:p w14:paraId="16C2F01F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3D.</w:t>
      </w:r>
    </w:p>
    <w:p w14:paraId="4F828B6F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5E2C07AD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1.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 </w:t>
      </w:r>
      <w:r>
        <w:rPr>
          <w:rFonts w:ascii="Arial" w:hAnsi="Arial" w:cs="Arial"/>
        </w:rPr>
        <w:t> Produce healthy (red blood) cells</w:t>
      </w:r>
    </w:p>
    <w:p w14:paraId="5A2F5655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650FD697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Produce (normal) polypeptide/</w:t>
      </w:r>
      <w:proofErr w:type="gramStart"/>
      <w:r>
        <w:rPr>
          <w:rFonts w:ascii="Arial" w:hAnsi="Arial" w:cs="Arial"/>
        </w:rPr>
        <w:t>haemoglobin;</w:t>
      </w:r>
      <w:proofErr w:type="gramEnd"/>
    </w:p>
    <w:p w14:paraId="2BA84549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2835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Produce only healthy (red blood) cells is only equivalent to mark point 1.</w:t>
      </w:r>
    </w:p>
    <w:p w14:paraId="7176C09B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produce ‘normal’/non-SCD cells.</w:t>
      </w:r>
    </w:p>
    <w:p w14:paraId="73C7F843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Ignore type of stem cell </w:t>
      </w:r>
      <w:proofErr w:type="gramStart"/>
      <w:r>
        <w:rPr>
          <w:rFonts w:ascii="Arial" w:hAnsi="Arial" w:cs="Arial"/>
          <w:i/>
          <w:iCs/>
        </w:rPr>
        <w:t>e.g.</w:t>
      </w:r>
      <w:proofErr w:type="gramEnd"/>
      <w:r>
        <w:rPr>
          <w:rFonts w:ascii="Arial" w:hAnsi="Arial" w:cs="Arial"/>
          <w:i/>
          <w:iCs/>
        </w:rPr>
        <w:t xml:space="preserve"> pluripotent.</w:t>
      </w:r>
    </w:p>
    <w:p w14:paraId="598C0937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 </w:t>
      </w:r>
      <w:r>
        <w:rPr>
          <w:rFonts w:ascii="Arial" w:hAnsi="Arial" w:cs="Arial"/>
        </w:rPr>
        <w:t> No sickle/faulty/SCD (red blood) cells (produced)</w:t>
      </w:r>
    </w:p>
    <w:p w14:paraId="6C4A6BF4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7E1C5BD5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No defective polypeptide/</w:t>
      </w:r>
      <w:proofErr w:type="gramStart"/>
      <w:r>
        <w:rPr>
          <w:rFonts w:ascii="Arial" w:hAnsi="Arial" w:cs="Arial"/>
        </w:rPr>
        <w:t>haemoglobin;</w:t>
      </w:r>
      <w:proofErr w:type="gramEnd"/>
    </w:p>
    <w:p w14:paraId="20FC05AC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 </w:t>
      </w:r>
      <w:r>
        <w:rPr>
          <w:rFonts w:ascii="Arial" w:hAnsi="Arial" w:cs="Arial"/>
        </w:rPr>
        <w:t> Stem/marrow cells (continuously) divide/replicate</w:t>
      </w:r>
    </w:p>
    <w:p w14:paraId="7F7264BB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628F648D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Less chance of rejection (from brother/sister</w:t>
      </w:r>
      <w:proofErr w:type="gramStart"/>
      <w:r>
        <w:rPr>
          <w:rFonts w:ascii="Arial" w:hAnsi="Arial" w:cs="Arial"/>
        </w:rPr>
        <w:t>);</w:t>
      </w:r>
      <w:proofErr w:type="gramEnd"/>
    </w:p>
    <w:p w14:paraId="32115090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Differentiate is not equivalent to divide/replicate.</w:t>
      </w:r>
    </w:p>
    <w:p w14:paraId="5D4C67E5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Ignore type of stem cell </w:t>
      </w:r>
      <w:proofErr w:type="gramStart"/>
      <w:r>
        <w:rPr>
          <w:rFonts w:ascii="Arial" w:hAnsi="Arial" w:cs="Arial"/>
          <w:i/>
          <w:iCs/>
        </w:rPr>
        <w:t>e.g.</w:t>
      </w:r>
      <w:proofErr w:type="gramEnd"/>
      <w:r>
        <w:rPr>
          <w:rFonts w:ascii="Arial" w:hAnsi="Arial" w:cs="Arial"/>
          <w:i/>
          <w:iCs/>
        </w:rPr>
        <w:t xml:space="preserve"> pluripotent.</w:t>
      </w:r>
    </w:p>
    <w:p w14:paraId="573AB640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6B4C895C" w14:textId="77777777" w:rsidR="00E70F7A" w:rsidRDefault="00E70F7A" w:rsidP="00E70F7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723E8F98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1.      Gives rise to new plants / </w:t>
      </w:r>
      <w:proofErr w:type="gramStart"/>
      <w:r>
        <w:rPr>
          <w:rFonts w:ascii="Arial" w:hAnsi="Arial" w:cs="Arial"/>
        </w:rPr>
        <w:t>plantlets;</w:t>
      </w:r>
      <w:proofErr w:type="gramEnd"/>
      <w:r>
        <w:rPr>
          <w:rFonts w:ascii="Arial" w:hAnsi="Arial" w:cs="Arial"/>
        </w:rPr>
        <w:t xml:space="preserve"> </w:t>
      </w:r>
    </w:p>
    <w:p w14:paraId="6517C01D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So must be able to develop into different tissues / other specialised cell types / </w:t>
      </w:r>
      <w:proofErr w:type="gramStart"/>
      <w:r>
        <w:rPr>
          <w:rFonts w:ascii="Arial" w:hAnsi="Arial" w:cs="Arial"/>
        </w:rPr>
        <w:t>differentiate;</w:t>
      </w:r>
      <w:proofErr w:type="gramEnd"/>
      <w:r>
        <w:rPr>
          <w:rFonts w:ascii="Arial" w:hAnsi="Arial" w:cs="Arial"/>
        </w:rPr>
        <w:t xml:space="preserve"> </w:t>
      </w:r>
    </w:p>
    <w:p w14:paraId="5B320927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1. Ignore references to leaves / callus </w:t>
      </w:r>
    </w:p>
    <w:p w14:paraId="2995F73C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0F474B71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1701"/>
        <w:rPr>
          <w:rFonts w:ascii="Arial" w:hAnsi="Arial" w:cs="Arial"/>
        </w:rPr>
      </w:pPr>
      <w:r>
        <w:rPr>
          <w:rFonts w:ascii="Arial" w:hAnsi="Arial" w:cs="Arial"/>
        </w:rPr>
        <w:t>(c)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 1.      Meiosis / independent assortment / crossing </w:t>
      </w:r>
      <w:proofErr w:type="gramStart"/>
      <w:r>
        <w:rPr>
          <w:rFonts w:ascii="Arial" w:hAnsi="Arial" w:cs="Arial"/>
        </w:rPr>
        <w:t>over;</w:t>
      </w:r>
      <w:proofErr w:type="gramEnd"/>
      <w:r>
        <w:rPr>
          <w:rFonts w:ascii="Arial" w:hAnsi="Arial" w:cs="Arial"/>
        </w:rPr>
        <w:t xml:space="preserve"> </w:t>
      </w:r>
    </w:p>
    <w:p w14:paraId="3D25E293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 xml:space="preserve">Fusion of) genetically different gametes / random fertilisation; </w:t>
      </w:r>
    </w:p>
    <w:p w14:paraId="717207E7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3EA61557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Will be clones / produced by mitosis / will be genetically identical / less variation / all plants will have desired </w:t>
      </w:r>
      <w:proofErr w:type="gramStart"/>
      <w:r>
        <w:rPr>
          <w:rFonts w:ascii="Arial" w:hAnsi="Arial" w:cs="Arial"/>
        </w:rPr>
        <w:t>characteristics;</w:t>
      </w:r>
      <w:proofErr w:type="gramEnd"/>
    </w:p>
    <w:p w14:paraId="048D7E28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If the reference is </w:t>
      </w:r>
      <w:proofErr w:type="gramStart"/>
      <w:r>
        <w:rPr>
          <w:rFonts w:ascii="Arial" w:hAnsi="Arial" w:cs="Arial"/>
          <w:i/>
          <w:iCs/>
        </w:rPr>
        <w:t>to</w:t>
      </w:r>
      <w:proofErr w:type="gramEnd"/>
      <w:r>
        <w:rPr>
          <w:rFonts w:ascii="Arial" w:hAnsi="Arial" w:cs="Arial"/>
          <w:i/>
          <w:iCs/>
        </w:rPr>
        <w:t xml:space="preserve"> identical must be genetically identical, but allow less variation without the reference to genetical.</w:t>
      </w:r>
    </w:p>
    <w:p w14:paraId="432D65F3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FACF591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695590CB" w14:textId="77777777" w:rsidR="00E70F7A" w:rsidRDefault="00E70F7A" w:rsidP="00E70F7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Q3.</w:t>
      </w:r>
    </w:p>
    <w:p w14:paraId="12A0A2C7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1.      Lipid </w:t>
      </w:r>
      <w:proofErr w:type="gramStart"/>
      <w:r>
        <w:rPr>
          <w:rFonts w:ascii="Arial" w:hAnsi="Arial" w:cs="Arial"/>
        </w:rPr>
        <w:t>soluble;</w:t>
      </w:r>
      <w:proofErr w:type="gramEnd"/>
    </w:p>
    <w:p w14:paraId="37915667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‘not water soluble’ or ‘fat soluble’.</w:t>
      </w:r>
    </w:p>
    <w:p w14:paraId="5DAC8A67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 xml:space="preserve">Diffuse through) </w:t>
      </w:r>
      <w:r>
        <w:rPr>
          <w:rFonts w:ascii="Arial" w:hAnsi="Arial" w:cs="Arial"/>
          <w:u w:val="single"/>
        </w:rPr>
        <w:t>phospholipid</w:t>
      </w:r>
      <w:r>
        <w:rPr>
          <w:rFonts w:ascii="Arial" w:hAnsi="Arial" w:cs="Arial"/>
        </w:rPr>
        <w:t xml:space="preserve"> (bilayer);</w:t>
      </w:r>
    </w:p>
    <w:p w14:paraId="3F467B38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 to joining to receptors/channels/carriers but reject passage through protein channels/carriers.</w:t>
      </w:r>
    </w:p>
    <w:p w14:paraId="0DF1D91B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12229869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(b)     1.      Has a (specific) </w:t>
      </w:r>
      <w:r>
        <w:rPr>
          <w:rFonts w:ascii="Arial" w:hAnsi="Arial" w:cs="Arial"/>
          <w:u w:val="single"/>
        </w:rPr>
        <w:t>tertiary</w:t>
      </w:r>
      <w:r>
        <w:rPr>
          <w:rFonts w:ascii="Arial" w:hAnsi="Arial" w:cs="Arial"/>
        </w:rPr>
        <w:t xml:space="preserve"> structure/</w:t>
      </w:r>
      <w:proofErr w:type="gramStart"/>
      <w:r>
        <w:rPr>
          <w:rFonts w:ascii="Arial" w:hAnsi="Arial" w:cs="Arial"/>
        </w:rPr>
        <w:t>shape;</w:t>
      </w:r>
      <w:proofErr w:type="gramEnd"/>
    </w:p>
    <w:p w14:paraId="543D9F14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in context of AR or testosterone.</w:t>
      </w:r>
    </w:p>
    <w:p w14:paraId="5B0C9F2D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3D.</w:t>
      </w:r>
    </w:p>
    <w:p w14:paraId="0E43642E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 xml:space="preserve">Structures are) </w:t>
      </w:r>
      <w:r>
        <w:rPr>
          <w:rFonts w:ascii="Arial" w:hAnsi="Arial" w:cs="Arial"/>
          <w:u w:val="single"/>
        </w:rPr>
        <w:t>complementary</w:t>
      </w:r>
      <w:r>
        <w:rPr>
          <w:rFonts w:ascii="Arial" w:hAnsi="Arial" w:cs="Arial"/>
        </w:rPr>
        <w:t>;</w:t>
      </w:r>
    </w:p>
    <w:p w14:paraId="4A670297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reference to antigen.</w:t>
      </w:r>
    </w:p>
    <w:p w14:paraId="6CDB3870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reference to active site, enzyme, substrate or induced fit.</w:t>
      </w:r>
    </w:p>
    <w:p w14:paraId="4904B126" w14:textId="77777777" w:rsidR="00416050" w:rsidRDefault="00416050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</w:p>
    <w:p w14:paraId="31111BDF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8670529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(c)     1.      (AR is) a transcription </w:t>
      </w:r>
      <w:proofErr w:type="gramStart"/>
      <w:r>
        <w:rPr>
          <w:rFonts w:ascii="Arial" w:hAnsi="Arial" w:cs="Arial"/>
        </w:rPr>
        <w:t>factor;</w:t>
      </w:r>
      <w:proofErr w:type="gramEnd"/>
    </w:p>
    <w:p w14:paraId="233DFD38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‘binds to bases’ or ‘binds to gene’.</w:t>
      </w:r>
    </w:p>
    <w:p w14:paraId="1C28029F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Binds to DNA/</w:t>
      </w:r>
      <w:proofErr w:type="gramStart"/>
      <w:r>
        <w:rPr>
          <w:rFonts w:ascii="Arial" w:hAnsi="Arial" w:cs="Arial"/>
        </w:rPr>
        <w:t>promoter;</w:t>
      </w:r>
      <w:proofErr w:type="gramEnd"/>
    </w:p>
    <w:p w14:paraId="45F946DB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reference to active site, enzyme, substrate or induced fit.</w:t>
      </w:r>
    </w:p>
    <w:p w14:paraId="07202923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>Stimulates) RNA polymerase;</w:t>
      </w:r>
    </w:p>
    <w:p w14:paraId="77D6D491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2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p w14:paraId="07A5A901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(d)     1.      With 16 or fewer than 16 (repeats the association) is </w:t>
      </w:r>
      <w:proofErr w:type="gramStart"/>
      <w:r>
        <w:rPr>
          <w:rFonts w:ascii="Arial" w:hAnsi="Arial" w:cs="Arial"/>
        </w:rPr>
        <w:t>significant;</w:t>
      </w:r>
      <w:proofErr w:type="gramEnd"/>
    </w:p>
    <w:p w14:paraId="7951353F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If none of the marks is awarded allow </w:t>
      </w:r>
      <w:proofErr w:type="gramStart"/>
      <w:r>
        <w:rPr>
          <w:rFonts w:ascii="Arial" w:hAnsi="Arial" w:cs="Arial"/>
          <w:i/>
          <w:iCs/>
        </w:rPr>
        <w:t>principle</w:t>
      </w:r>
      <w:proofErr w:type="gramEnd"/>
      <w:r>
        <w:rPr>
          <w:rFonts w:ascii="Arial" w:hAnsi="Arial" w:cs="Arial"/>
          <w:i/>
          <w:iCs/>
        </w:rPr>
        <w:t xml:space="preserve"> mark of (prostate) cancer more likely with 16 or less than 16 (repeats) </w:t>
      </w: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(prostate) cancer less likely with 17 or more than 17 (repeats)</w:t>
      </w:r>
    </w:p>
    <w:p w14:paraId="3B74A055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</w:p>
    <w:p w14:paraId="0437ACD5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Alternative </w:t>
      </w:r>
      <w:proofErr w:type="gramStart"/>
      <w:r>
        <w:rPr>
          <w:rFonts w:ascii="Arial" w:hAnsi="Arial" w:cs="Arial"/>
          <w:i/>
          <w:iCs/>
        </w:rPr>
        <w:t>principle</w:t>
      </w:r>
      <w:proofErr w:type="gramEnd"/>
      <w:r>
        <w:rPr>
          <w:rFonts w:ascii="Arial" w:hAnsi="Arial" w:cs="Arial"/>
          <w:i/>
          <w:iCs/>
        </w:rPr>
        <w:t xml:space="preserve"> mark Correctly links significant/not significant to correct </w:t>
      </w:r>
      <w:r>
        <w:rPr>
          <w:rFonts w:ascii="Arial" w:hAnsi="Arial" w:cs="Arial"/>
          <w:i/>
          <w:iCs/>
          <w:u w:val="single"/>
        </w:rPr>
        <w:t>probability</w:t>
      </w:r>
      <w:r>
        <w:rPr>
          <w:rFonts w:ascii="Arial" w:hAnsi="Arial" w:cs="Arial"/>
          <w:i/>
          <w:iCs/>
        </w:rPr>
        <w:t xml:space="preserve"> value/percentage </w:t>
      </w: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to rejecting/accepting the null hypothesis.</w:t>
      </w:r>
    </w:p>
    <w:p w14:paraId="66EE1396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‘the results are significant’.</w:t>
      </w:r>
    </w:p>
    <w:p w14:paraId="567241C6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‘difference in results is significant’.</w:t>
      </w:r>
    </w:p>
    <w:p w14:paraId="7852326D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*With 17 or more than 17 (repeats the association)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significant;</w:t>
      </w:r>
      <w:proofErr w:type="gramEnd"/>
    </w:p>
    <w:p w14:paraId="04657637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3.      *With 16 or fewer than 16 (repeats) there is less than a 5% or less than 0.05 probability of being due to chance</w:t>
      </w:r>
    </w:p>
    <w:p w14:paraId="4374BDC6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70A12BB2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*With 17 or more than 17 (repeats) there is more than a 5% or more than 0.05 </w:t>
      </w:r>
      <w:r>
        <w:rPr>
          <w:rFonts w:ascii="Arial" w:hAnsi="Arial" w:cs="Arial"/>
          <w:u w:val="single"/>
        </w:rPr>
        <w:t>probability</w:t>
      </w:r>
      <w:r>
        <w:rPr>
          <w:rFonts w:ascii="Arial" w:hAnsi="Arial" w:cs="Arial"/>
        </w:rPr>
        <w:t xml:space="preserve"> of being due to chance</w:t>
      </w:r>
    </w:p>
    <w:p w14:paraId="7216328A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589DC11B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*Explanation of a probability value </w:t>
      </w:r>
      <w:proofErr w:type="gramStart"/>
      <w:r>
        <w:rPr>
          <w:rFonts w:ascii="Arial" w:hAnsi="Arial" w:cs="Arial"/>
        </w:rPr>
        <w:t>e.g.</w:t>
      </w:r>
      <w:proofErr w:type="gramEnd"/>
      <w:r>
        <w:rPr>
          <w:rFonts w:ascii="Arial" w:hAnsi="Arial" w:cs="Arial"/>
        </w:rPr>
        <w:t xml:space="preserve"> 0.30 is a 0.30 or 30% </w:t>
      </w:r>
      <w:r>
        <w:rPr>
          <w:rFonts w:ascii="Arial" w:hAnsi="Arial" w:cs="Arial"/>
          <w:u w:val="single"/>
        </w:rPr>
        <w:t>probability</w:t>
      </w:r>
      <w:r>
        <w:rPr>
          <w:rFonts w:ascii="Arial" w:hAnsi="Arial" w:cs="Arial"/>
        </w:rPr>
        <w:t xml:space="preserve"> of being due to chance;</w:t>
      </w:r>
    </w:p>
    <w:p w14:paraId="37061515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equivalent responses in terms of 95% or 0.95 </w:t>
      </w:r>
      <w:r>
        <w:rPr>
          <w:rFonts w:ascii="Arial" w:hAnsi="Arial" w:cs="Arial"/>
          <w:i/>
          <w:iCs/>
        </w:rPr>
        <w:lastRenderedPageBreak/>
        <w:t>probability.</w:t>
      </w:r>
    </w:p>
    <w:p w14:paraId="7F638C29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4.      *With 16 or fewer than 16 (repeats) reject the null hypothesis</w:t>
      </w:r>
    </w:p>
    <w:p w14:paraId="2904F051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3D840ACC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*With 17 or more (repeats) accept the null </w:t>
      </w:r>
      <w:proofErr w:type="gramStart"/>
      <w:r>
        <w:rPr>
          <w:rFonts w:ascii="Arial" w:hAnsi="Arial" w:cs="Arial"/>
        </w:rPr>
        <w:t>hypothesis;</w:t>
      </w:r>
      <w:proofErr w:type="gramEnd"/>
    </w:p>
    <w:p w14:paraId="0D9F16DE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*Accept reference to any number of repeats (</w:t>
      </w:r>
      <w:proofErr w:type="gramStart"/>
      <w:r>
        <w:rPr>
          <w:rFonts w:ascii="Arial" w:hAnsi="Arial" w:cs="Arial"/>
          <w:i/>
          <w:iCs/>
        </w:rPr>
        <w:t>e.g.</w:t>
      </w:r>
      <w:proofErr w:type="gramEnd"/>
      <w:r>
        <w:rPr>
          <w:rFonts w:ascii="Arial" w:hAnsi="Arial" w:cs="Arial"/>
          <w:i/>
          <w:iCs/>
        </w:rPr>
        <w:t xml:space="preserve"> 18) between 17 to 20 for 17 or more than 17 (repeats).</w:t>
      </w:r>
    </w:p>
    <w:p w14:paraId="2B3D0590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3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p w14:paraId="5F0B20A7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[9]</w:t>
      </w:r>
    </w:p>
    <w:p w14:paraId="17F62B80" w14:textId="77777777" w:rsidR="00E70F7A" w:rsidRDefault="00E70F7A" w:rsidP="00E70F7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14:paraId="0B36A108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(e)     1.      Single-stranded RNA (has base sequence) complementary to PIP1 </w:t>
      </w:r>
      <w:proofErr w:type="gramStart"/>
      <w:r>
        <w:rPr>
          <w:rFonts w:ascii="Arial" w:hAnsi="Arial" w:cs="Arial"/>
        </w:rPr>
        <w:t>mRNA;</w:t>
      </w:r>
      <w:proofErr w:type="gramEnd"/>
    </w:p>
    <w:p w14:paraId="49CC6AF3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Binds to mRNA (of PIP1) / leads to destruction of </w:t>
      </w:r>
      <w:proofErr w:type="gramStart"/>
      <w:r>
        <w:rPr>
          <w:rFonts w:ascii="Arial" w:hAnsi="Arial" w:cs="Arial"/>
        </w:rPr>
        <w:t>mRNA;</w:t>
      </w:r>
      <w:proofErr w:type="gramEnd"/>
    </w:p>
    <w:p w14:paraId="422FCB36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Prevents / reduces translation (of PIP1</w:t>
      </w:r>
      <w:proofErr w:type="gramStart"/>
      <w:r>
        <w:rPr>
          <w:rFonts w:ascii="Arial" w:hAnsi="Arial" w:cs="Arial"/>
        </w:rPr>
        <w:t>);</w:t>
      </w:r>
      <w:proofErr w:type="gramEnd"/>
    </w:p>
    <w:p w14:paraId="3E93B5C7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4.      Reduces photosynthesis/named process that uses </w:t>
      </w:r>
      <w:proofErr w:type="gramStart"/>
      <w:r>
        <w:rPr>
          <w:rFonts w:ascii="Arial" w:hAnsi="Arial" w:cs="Arial"/>
        </w:rPr>
        <w:t>water;</w:t>
      </w:r>
      <w:proofErr w:type="gramEnd"/>
    </w:p>
    <w:p w14:paraId="43B160FE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3.      Less made is insufficient</w:t>
      </w:r>
    </w:p>
    <w:p w14:paraId="06E2D7FA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3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p w14:paraId="47845448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(f)      Not all of mRNA bound to single-stranded RNA / there is more mRNA than interfering RNA</w:t>
      </w:r>
    </w:p>
    <w:p w14:paraId="3AA22C6B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7A8ECBAD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Not all mRNA destroyed / </w:t>
      </w:r>
      <w:proofErr w:type="gramStart"/>
      <w:r>
        <w:rPr>
          <w:rFonts w:ascii="Arial" w:hAnsi="Arial" w:cs="Arial"/>
        </w:rPr>
        <w:t>disabled;</w:t>
      </w:r>
      <w:proofErr w:type="gramEnd"/>
    </w:p>
    <w:p w14:paraId="53289EA3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mutations in transgene,</w:t>
      </w:r>
    </w:p>
    <w:p w14:paraId="585AB78B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not all cells with transgenes</w:t>
      </w:r>
    </w:p>
    <w:p w14:paraId="2B4031A7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62D90B1" w14:textId="77777777" w:rsidR="00E70F7A" w:rsidRDefault="00E70F7A" w:rsidP="00E70F7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14:paraId="3D149FFE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Daughter (C) does not have the condition / one child doesn’t have </w:t>
      </w:r>
      <w:proofErr w:type="gramStart"/>
      <w:r>
        <w:rPr>
          <w:rFonts w:ascii="Arial" w:hAnsi="Arial" w:cs="Arial"/>
        </w:rPr>
        <w:t>it;</w:t>
      </w:r>
      <w:proofErr w:type="gramEnd"/>
    </w:p>
    <w:p w14:paraId="5B4AB29E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converse arguments (If candidates see it purely as</w:t>
      </w:r>
      <w:r>
        <w:rPr>
          <w:rFonts w:ascii="Arial" w:hAnsi="Arial" w:cs="Arial"/>
          <w:i/>
          <w:iCs/>
        </w:rPr>
        <w:br/>
        <w:t>a genetic cross diagram) D is heterozygous because E is</w:t>
      </w:r>
      <w:r>
        <w:rPr>
          <w:rFonts w:ascii="Arial" w:hAnsi="Arial" w:cs="Arial"/>
          <w:i/>
          <w:iCs/>
        </w:rPr>
        <w:br/>
      </w:r>
      <w:proofErr w:type="gramStart"/>
      <w:r>
        <w:rPr>
          <w:rFonts w:ascii="Arial" w:hAnsi="Arial" w:cs="Arial"/>
          <w:i/>
          <w:iCs/>
        </w:rPr>
        <w:t>unaffected;</w:t>
      </w:r>
      <w:proofErr w:type="gramEnd"/>
    </w:p>
    <w:p w14:paraId="5BB349BD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Parents must have been carriers of normal / healthy recessive/</w:t>
      </w:r>
      <w:r>
        <w:rPr>
          <w:rFonts w:ascii="Arial" w:hAnsi="Arial" w:cs="Arial"/>
        </w:rPr>
        <w:br/>
        <w:t>if recessive then parents homozygous (so all children affected</w:t>
      </w:r>
      <w:proofErr w:type="gramStart"/>
      <w:r>
        <w:rPr>
          <w:rFonts w:ascii="Arial" w:hAnsi="Arial" w:cs="Arial"/>
        </w:rPr>
        <w:t>);</w:t>
      </w:r>
      <w:proofErr w:type="gramEnd"/>
    </w:p>
    <w:p w14:paraId="0820B88C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 has cancer, so the cancer allele must be </w:t>
      </w:r>
      <w:proofErr w:type="gramStart"/>
      <w:r>
        <w:rPr>
          <w:rFonts w:ascii="Arial" w:hAnsi="Arial" w:cs="Arial"/>
          <w:i/>
          <w:iCs/>
        </w:rPr>
        <w:t>dominant;</w:t>
      </w:r>
      <w:proofErr w:type="gramEnd"/>
    </w:p>
    <w:p w14:paraId="6A548103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46E64C19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Father (A) would pass on X chromosome to daughter;</w:t>
      </w:r>
      <w:r>
        <w:rPr>
          <w:rFonts w:ascii="Arial" w:hAnsi="Arial" w:cs="Arial"/>
        </w:rPr>
        <w:br/>
        <w:t xml:space="preserve">She is not </w:t>
      </w:r>
      <w:proofErr w:type="gramStart"/>
      <w:r>
        <w:rPr>
          <w:rFonts w:ascii="Arial" w:hAnsi="Arial" w:cs="Arial"/>
        </w:rPr>
        <w:t>affected;</w:t>
      </w:r>
      <w:proofErr w:type="gramEnd"/>
    </w:p>
    <w:p w14:paraId="0C02262A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that if D’s X chromosome carried ‘it’,</w:t>
      </w:r>
      <w:r>
        <w:rPr>
          <w:rFonts w:ascii="Arial" w:hAnsi="Arial" w:cs="Arial"/>
          <w:i/>
          <w:iCs/>
        </w:rPr>
        <w:br/>
        <w:t>then E would be affected.</w:t>
      </w:r>
    </w:p>
    <w:p w14:paraId="497ECCE2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07836120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 Mutation / mutagen changes DNA of cell;</w:t>
      </w:r>
      <w:r>
        <w:rPr>
          <w:rFonts w:ascii="Arial" w:hAnsi="Arial" w:cs="Arial"/>
        </w:rPr>
        <w:br/>
        <w:t>Damaged DNA not repaired / cells not killed / apoptosis doesn’t happen;</w:t>
      </w:r>
      <w:r>
        <w:rPr>
          <w:rFonts w:ascii="Arial" w:hAnsi="Arial" w:cs="Arial"/>
        </w:rPr>
        <w:br/>
        <w:t>Mutation leads to loss of control / uncontrolled cell division;</w:t>
      </w:r>
      <w:r>
        <w:rPr>
          <w:rFonts w:ascii="Arial" w:hAnsi="Arial" w:cs="Arial"/>
        </w:rPr>
        <w:br/>
        <w:t>(Some of these) cells carried to other parts of the body.</w:t>
      </w:r>
    </w:p>
    <w:p w14:paraId="5631B0EF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3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p w14:paraId="4B5DB663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[9]</w:t>
      </w:r>
    </w:p>
    <w:p w14:paraId="652ACD94" w14:textId="77777777" w:rsidR="00E70F7A" w:rsidRDefault="00E70F7A" w:rsidP="00E70F7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14:paraId="361D89E6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</w:t>
      </w:r>
      <w:proofErr w:type="gramStart"/>
      <w:r>
        <w:rPr>
          <w:rFonts w:ascii="Arial" w:hAnsi="Arial" w:cs="Arial"/>
        </w:rPr>
        <w:t>   (</w:t>
      </w:r>
      <w:proofErr w:type="spellStart"/>
      <w:proofErr w:type="gramEnd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 1.      (Tumour suppressor) gene inactivated / not able to control / slow down </w:t>
      </w:r>
      <w:r>
        <w:rPr>
          <w:rFonts w:ascii="Arial" w:hAnsi="Arial" w:cs="Arial"/>
        </w:rPr>
        <w:lastRenderedPageBreak/>
        <w:t xml:space="preserve">cell </w:t>
      </w:r>
      <w:proofErr w:type="gramStart"/>
      <w:r>
        <w:rPr>
          <w:rFonts w:ascii="Arial" w:hAnsi="Arial" w:cs="Arial"/>
        </w:rPr>
        <w:t>division;</w:t>
      </w:r>
      <w:proofErr w:type="gramEnd"/>
    </w:p>
    <w:p w14:paraId="263FFBF2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Ignore: references to growth</w:t>
      </w:r>
    </w:p>
    <w:p w14:paraId="7FB14003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2.      Rate of cell division too fast / out of control.</w:t>
      </w:r>
    </w:p>
    <w:p w14:paraId="4DF1AFC5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 and 2 Accept: mitosis</w:t>
      </w:r>
    </w:p>
    <w:p w14:paraId="4BF0FBFF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 and 2 Reject: meiosis</w:t>
      </w:r>
    </w:p>
    <w:p w14:paraId="770040E5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FC69A89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 1.      (Genetic) code </w:t>
      </w:r>
      <w:proofErr w:type="gramStart"/>
      <w:r>
        <w:rPr>
          <w:rFonts w:ascii="Arial" w:hAnsi="Arial" w:cs="Arial"/>
        </w:rPr>
        <w:t>degenerate;</w:t>
      </w:r>
      <w:proofErr w:type="gramEnd"/>
    </w:p>
    <w:p w14:paraId="612351A9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codon for triplet</w:t>
      </w:r>
    </w:p>
    <w:p w14:paraId="23009CB5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description of degenerate code, </w:t>
      </w:r>
      <w:proofErr w:type="gramStart"/>
      <w:r>
        <w:rPr>
          <w:rFonts w:ascii="Arial" w:hAnsi="Arial" w:cs="Arial"/>
          <w:i/>
          <w:iCs/>
        </w:rPr>
        <w:t>e.g.</w:t>
      </w:r>
      <w:proofErr w:type="gramEnd"/>
      <w:r>
        <w:rPr>
          <w:rFonts w:ascii="Arial" w:hAnsi="Arial" w:cs="Arial"/>
          <w:i/>
          <w:iCs/>
        </w:rPr>
        <w:t xml:space="preserve"> another triplet codes for the same amino acid</w:t>
      </w:r>
    </w:p>
    <w:p w14:paraId="69889D33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      Mutation in intron.</w:t>
      </w:r>
    </w:p>
    <w:p w14:paraId="39039860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mutation in non-coding DNA</w:t>
      </w:r>
    </w:p>
    <w:p w14:paraId="59F97576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 max</w:t>
      </w:r>
    </w:p>
    <w:p w14:paraId="521C20DC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1.      Antibody has specific tertiary structure / binding site / variable </w:t>
      </w:r>
      <w:proofErr w:type="gramStart"/>
      <w:r>
        <w:rPr>
          <w:rFonts w:ascii="Arial" w:hAnsi="Arial" w:cs="Arial"/>
        </w:rPr>
        <w:t>region;</w:t>
      </w:r>
      <w:proofErr w:type="gramEnd"/>
    </w:p>
    <w:p w14:paraId="1C256E77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accept explanations involving undefined antigen</w:t>
      </w:r>
    </w:p>
    <w:p w14:paraId="630B9D33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      Complementary (shape / fit) to receptor protein / GF / binds to receptor protein / to </w:t>
      </w:r>
      <w:proofErr w:type="gramStart"/>
      <w:r>
        <w:rPr>
          <w:rFonts w:ascii="Arial" w:hAnsi="Arial" w:cs="Arial"/>
        </w:rPr>
        <w:t>GF;</w:t>
      </w:r>
      <w:proofErr w:type="gramEnd"/>
    </w:p>
    <w:p w14:paraId="4F9AA2CA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Ignore: same shape as receptor protein / GF</w:t>
      </w:r>
    </w:p>
    <w:p w14:paraId="7A64037C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      Prevents GF binding (to receptor).</w:t>
      </w:r>
    </w:p>
    <w:p w14:paraId="69E69FA9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4F87FAB9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14:paraId="2EAA6D5D" w14:textId="77777777" w:rsidR="00E70F7A" w:rsidRDefault="00E70F7A" w:rsidP="00E70F7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14:paraId="51CF53BA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(b)     1.      (EGCG) binds to </w:t>
      </w:r>
      <w:r>
        <w:rPr>
          <w:rFonts w:ascii="Arial" w:hAnsi="Arial" w:cs="Arial"/>
          <w:u w:val="single"/>
        </w:rPr>
        <w:t>active site</w:t>
      </w:r>
      <w:r>
        <w:rPr>
          <w:rFonts w:ascii="Arial" w:hAnsi="Arial" w:cs="Arial"/>
        </w:rPr>
        <w:t xml:space="preserve"> of </w:t>
      </w:r>
      <w:proofErr w:type="gramStart"/>
      <w:r>
        <w:rPr>
          <w:rFonts w:ascii="Arial" w:hAnsi="Arial" w:cs="Arial"/>
        </w:rPr>
        <w:t>DNMT;</w:t>
      </w:r>
      <w:proofErr w:type="gramEnd"/>
    </w:p>
    <w:p w14:paraId="19CBF7A4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active site changes shape</w:t>
      </w:r>
    </w:p>
    <w:p w14:paraId="40E805BA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‘forms enzyme-substrate’ complex</w:t>
      </w:r>
    </w:p>
    <w:p w14:paraId="20307E6C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>DNMT) cannot methylate (promoter region of tumour suppressor gene);</w:t>
      </w:r>
    </w:p>
    <w:p w14:paraId="7F6EC481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3.      Transcription(al) factor(s) can bind (to promoter region</w:t>
      </w:r>
      <w:proofErr w:type="gramStart"/>
      <w:r>
        <w:rPr>
          <w:rFonts w:ascii="Arial" w:hAnsi="Arial" w:cs="Arial"/>
        </w:rPr>
        <w:t>);</w:t>
      </w:r>
      <w:proofErr w:type="gramEnd"/>
    </w:p>
    <w:p w14:paraId="57758FCF" w14:textId="77777777" w:rsidR="00E70F7A" w:rsidRDefault="00E70F7A" w:rsidP="00E70F7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4.      RNA polymerase (stimulated/activated</w:t>
      </w:r>
      <w:proofErr w:type="gramStart"/>
      <w:r>
        <w:rPr>
          <w:rFonts w:ascii="Arial" w:hAnsi="Arial" w:cs="Arial"/>
        </w:rPr>
        <w:t>);</w:t>
      </w:r>
      <w:proofErr w:type="gramEnd"/>
    </w:p>
    <w:p w14:paraId="541AD748" w14:textId="77777777" w:rsidR="00E70F7A" w:rsidRDefault="00E70F7A" w:rsidP="00E70F7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less methylation (of promoter region/tumour suppressor gene)</w:t>
      </w:r>
    </w:p>
    <w:p w14:paraId="24C1D241" w14:textId="77777777" w:rsidR="00E70F7A" w:rsidRDefault="00E70F7A" w:rsidP="00E70F7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3 </w:t>
      </w:r>
      <w:proofErr w:type="gramStart"/>
      <w:r>
        <w:rPr>
          <w:rFonts w:ascii="Times New Roman" w:hAnsi="Times New Roman"/>
          <w:b/>
          <w:bCs/>
          <w:sz w:val="18"/>
          <w:szCs w:val="18"/>
        </w:rPr>
        <w:t>max</w:t>
      </w:r>
      <w:proofErr w:type="gramEnd"/>
    </w:p>
    <w:sectPr w:rsidR="00E70F7A">
      <w:pgSz w:w="11907" w:h="16839"/>
      <w:pgMar w:top="850" w:right="567" w:bottom="850" w:left="1417" w:header="72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F7A"/>
    <w:rsid w:val="00416050"/>
    <w:rsid w:val="00885A6A"/>
    <w:rsid w:val="008A74A3"/>
    <w:rsid w:val="008C7D3F"/>
    <w:rsid w:val="009F3007"/>
    <w:rsid w:val="00B05A7C"/>
    <w:rsid w:val="00E66BBC"/>
    <w:rsid w:val="00E70F7A"/>
    <w:rsid w:val="00E86DF2"/>
    <w:rsid w:val="6CA3F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4F9DA"/>
  <w15:chartTrackingRefBased/>
  <w15:docId w15:val="{54BFC8F6-9D40-47F0-B251-5CB4025C7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F7A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4" ma:contentTypeDescription="Create a new document." ma:contentTypeScope="" ma:versionID="ac8b9f5de74aa8daebc7bec0254a29bb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5baaed96022414df6f671ed599d7533d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D82C8E-D84B-49CF-ACDF-81848EB8DE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F0397A-3DF3-43FD-8C5A-6B824730EF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1272B9-307D-428E-A799-958CC875359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4</Pages>
  <Words>887</Words>
  <Characters>5059</Characters>
  <Application>Microsoft Office Word</Application>
  <DocSecurity>0</DocSecurity>
  <Lines>42</Lines>
  <Paragraphs>11</Paragraphs>
  <ScaleCrop>false</ScaleCrop>
  <Company/>
  <LinksUpToDate>false</LinksUpToDate>
  <CharactersWithSpaces>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/>
  <cp:lastModifiedBy>Lauren Edwards</cp:lastModifiedBy>
  <cp:revision>9</cp:revision>
  <dcterms:created xsi:type="dcterms:W3CDTF">2022-05-05T10:21:00Z</dcterms:created>
  <dcterms:modified xsi:type="dcterms:W3CDTF">2022-05-08T17:53:00Z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